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ascii="Arial" w:hAnsi="Arial" w:eastAsia="宋体" w:cs="Arial"/>
          <w:b/>
          <w:color w:val="auto"/>
          <w:sz w:val="24"/>
          <w:szCs w:val="24"/>
          <w:lang w:val="en-US" w:eastAsia="zh-CN"/>
        </w:rPr>
      </w:pPr>
      <w:bookmarkStart w:id="0" w:name="Title"/>
      <w:bookmarkEnd w:id="0"/>
      <w:bookmarkStart w:id="1" w:name="DocumentFor"/>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R4-211817</w:t>
      </w:r>
      <w:r>
        <w:rPr>
          <w:rFonts w:hint="eastAsia" w:eastAsia="宋体" w:cs="Arial"/>
          <w:b/>
          <w:color w:val="auto"/>
          <w:sz w:val="24"/>
          <w:szCs w:val="24"/>
          <w:lang w:val="en-US" w:eastAsia="zh-CN"/>
        </w:rPr>
        <w:t>4</w:t>
      </w:r>
      <w:bookmarkStart w:id="3" w:name="_GoBack"/>
      <w:bookmarkEnd w:id="3"/>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cs="Times New Roman"/>
          <w:b w:val="0"/>
          <w:bCs/>
          <w:color w:val="auto"/>
          <w:sz w:val="20"/>
          <w:szCs w:val="20"/>
          <w:lang w:val="en-US" w:eastAsia="zh-CN"/>
        </w:rPr>
        <w:t>On the MSD requirements for PC2 and PC3 NR inter-band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Times New Roman"/>
          <w:b w:val="0"/>
          <w:bCs/>
          <w:color w:val="auto"/>
          <w:sz w:val="20"/>
          <w:szCs w:val="20"/>
          <w:lang w:val="en-US" w:eastAsia="zh-CN"/>
        </w:rPr>
        <w:t>6.6</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xml:space="preserve">For Rel-17 HPUE NR inter-band CA, there are four power configurations cases included in the WID, also these four cases can be found in the table 1-2 in </w:t>
      </w:r>
      <w:r>
        <w:rPr>
          <w:rFonts w:hint="eastAsia" w:eastAsia="宋体" w:cs="Times New Roman"/>
          <w:b w:val="0"/>
          <w:bCs w:val="0"/>
          <w:color w:val="auto"/>
          <w:sz w:val="20"/>
          <w:szCs w:val="20"/>
          <w:highlight w:val="none"/>
          <w:lang w:val="en-US" w:eastAsia="zh-CN"/>
        </w:rPr>
        <w:t>TR 38.841 [1] as following:</w:t>
      </w:r>
    </w:p>
    <w:p>
      <w:pPr>
        <w:pStyle w:val="143"/>
        <w:widowControl w:val="0"/>
        <w:spacing w:after="240"/>
        <w:jc w:val="center"/>
        <w:rPr>
          <w:rFonts w:hint="default" w:cs="Arial"/>
          <w:b/>
          <w:color w:val="auto"/>
          <w:kern w:val="2"/>
          <w:szCs w:val="18"/>
          <w:lang w:val="en-US" w:eastAsia="zh-CN"/>
        </w:rPr>
      </w:pPr>
      <w:r>
        <w:rPr>
          <w:rFonts w:hint="eastAsia" w:cs="Arial"/>
          <w:b/>
          <w:color w:val="auto"/>
          <w:kern w:val="2"/>
          <w:szCs w:val="18"/>
          <w:lang w:val="en-US" w:eastAsia="zh-CN"/>
        </w:rPr>
        <w:t>Table 1-2 Maximum output power for power class 2 cases (in TR 38.841)</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1506"/>
        <w:gridCol w:w="1520"/>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398" w:type="dxa"/>
            <w:shd w:val="clear" w:color="auto" w:fill="auto"/>
          </w:tcPr>
          <w:p>
            <w:pPr>
              <w:pStyle w:val="143"/>
              <w:widowControl w:val="0"/>
              <w:jc w:val="both"/>
              <w:rPr>
                <w:rFonts w:cs="Arial"/>
                <w:b/>
                <w:color w:val="auto"/>
                <w:kern w:val="2"/>
                <w:szCs w:val="18"/>
                <w:lang w:val="en-US" w:eastAsia="zh-CN"/>
              </w:rPr>
            </w:pPr>
            <w:r>
              <w:rPr>
                <w:rFonts w:hint="eastAsia" w:cs="Arial"/>
                <w:b/>
                <w:color w:val="auto"/>
                <w:kern w:val="2"/>
                <w:szCs w:val="18"/>
                <w:lang w:val="en-US" w:eastAsia="zh-CN"/>
              </w:rPr>
              <w:t>Power class 2 cases</w:t>
            </w:r>
            <w:r>
              <w:rPr>
                <w:rFonts w:cs="Arial"/>
                <w:b/>
                <w:color w:val="auto"/>
                <w:kern w:val="2"/>
                <w:szCs w:val="18"/>
                <w:lang w:val="en-US" w:eastAsia="zh-CN"/>
              </w:rPr>
              <w:t xml:space="preserve"> for CA_nXA-nYA</w:t>
            </w:r>
          </w:p>
        </w:tc>
        <w:tc>
          <w:tcPr>
            <w:tcW w:w="1506" w:type="dxa"/>
            <w:shd w:val="clear" w:color="auto" w:fill="auto"/>
          </w:tcPr>
          <w:p>
            <w:pPr>
              <w:pStyle w:val="143"/>
              <w:widowControl w:val="0"/>
              <w:jc w:val="both"/>
              <w:rPr>
                <w:rFonts w:cs="Arial"/>
                <w:b/>
                <w:color w:val="auto"/>
                <w:kern w:val="2"/>
                <w:szCs w:val="18"/>
                <w:lang w:val="en-US" w:eastAsia="zh-CN"/>
              </w:rPr>
            </w:pPr>
            <w:r>
              <w:rPr>
                <w:rFonts w:hint="eastAsia" w:cs="Arial"/>
                <w:b/>
                <w:color w:val="auto"/>
                <w:kern w:val="2"/>
                <w:szCs w:val="18"/>
                <w:lang w:val="en-US" w:eastAsia="zh-CN"/>
              </w:rPr>
              <w:t>CA power class</w:t>
            </w:r>
          </w:p>
        </w:tc>
        <w:tc>
          <w:tcPr>
            <w:tcW w:w="1520" w:type="dxa"/>
            <w:shd w:val="clear" w:color="auto" w:fill="auto"/>
          </w:tcPr>
          <w:p>
            <w:pPr>
              <w:pStyle w:val="143"/>
              <w:widowControl w:val="0"/>
              <w:jc w:val="both"/>
              <w:rPr>
                <w:rFonts w:cs="Arial"/>
                <w:b/>
                <w:color w:val="auto"/>
                <w:kern w:val="2"/>
                <w:szCs w:val="18"/>
                <w:lang w:val="en-US" w:eastAsia="zh-CN"/>
              </w:rPr>
            </w:pPr>
            <w:r>
              <w:rPr>
                <w:rFonts w:hint="eastAsia" w:cs="Arial"/>
                <w:b/>
                <w:color w:val="auto"/>
                <w:kern w:val="2"/>
                <w:szCs w:val="18"/>
                <w:lang w:val="en-US" w:eastAsia="zh-CN"/>
              </w:rPr>
              <w:t>Carrier X power class</w:t>
            </w:r>
          </w:p>
        </w:tc>
        <w:tc>
          <w:tcPr>
            <w:tcW w:w="1520" w:type="dxa"/>
            <w:shd w:val="clear" w:color="auto" w:fill="auto"/>
          </w:tcPr>
          <w:p>
            <w:pPr>
              <w:pStyle w:val="143"/>
              <w:widowControl w:val="0"/>
              <w:jc w:val="both"/>
              <w:rPr>
                <w:rFonts w:cs="Arial"/>
                <w:b/>
                <w:color w:val="auto"/>
                <w:kern w:val="2"/>
                <w:szCs w:val="18"/>
                <w:lang w:val="en-US" w:eastAsia="zh-CN"/>
              </w:rPr>
            </w:pPr>
            <w:r>
              <w:rPr>
                <w:rFonts w:hint="eastAsia" w:cs="Arial"/>
                <w:b/>
                <w:color w:val="auto"/>
                <w:kern w:val="2"/>
                <w:szCs w:val="18"/>
                <w:lang w:val="en-US" w:eastAsia="zh-CN"/>
              </w:rPr>
              <w:t>Carrier Y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98"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Ca</w:t>
            </w:r>
            <w:r>
              <w:rPr>
                <w:rFonts w:cs="Arial"/>
                <w:color w:val="auto"/>
                <w:kern w:val="2"/>
                <w:szCs w:val="18"/>
                <w:lang w:val="en-US" w:eastAsia="zh-CN"/>
              </w:rPr>
              <w:t xml:space="preserve">se </w:t>
            </w:r>
            <w:r>
              <w:rPr>
                <w:rFonts w:hint="eastAsia" w:cs="Arial"/>
                <w:color w:val="auto"/>
                <w:kern w:val="2"/>
                <w:szCs w:val="18"/>
                <w:lang w:val="en-US" w:eastAsia="zh-CN"/>
              </w:rPr>
              <w:t>a</w:t>
            </w:r>
          </w:p>
        </w:tc>
        <w:tc>
          <w:tcPr>
            <w:tcW w:w="1506"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26dBm</w:t>
            </w:r>
          </w:p>
        </w:tc>
        <w:tc>
          <w:tcPr>
            <w:tcW w:w="1520"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23dBm</w:t>
            </w:r>
          </w:p>
        </w:tc>
        <w:tc>
          <w:tcPr>
            <w:tcW w:w="1520"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98"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Case b</w:t>
            </w:r>
          </w:p>
        </w:tc>
        <w:tc>
          <w:tcPr>
            <w:tcW w:w="1506"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26dBm</w:t>
            </w:r>
          </w:p>
        </w:tc>
        <w:tc>
          <w:tcPr>
            <w:tcW w:w="1520"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23dBm</w:t>
            </w:r>
          </w:p>
        </w:tc>
        <w:tc>
          <w:tcPr>
            <w:tcW w:w="1520" w:type="dxa"/>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398"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Case c</w:t>
            </w:r>
          </w:p>
        </w:tc>
        <w:tc>
          <w:tcPr>
            <w:tcW w:w="1506"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26dBm</w:t>
            </w:r>
          </w:p>
        </w:tc>
        <w:tc>
          <w:tcPr>
            <w:tcW w:w="1520"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26dBm</w:t>
            </w:r>
          </w:p>
        </w:tc>
        <w:tc>
          <w:tcPr>
            <w:tcW w:w="1520"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2</w:t>
            </w:r>
            <w:r>
              <w:rPr>
                <w:rFonts w:hint="eastAsia" w:cs="Arial"/>
                <w:color w:val="auto"/>
                <w:kern w:val="2"/>
                <w:szCs w:val="18"/>
                <w:lang w:val="en-US" w:eastAsia="zh-CN"/>
              </w:rPr>
              <w:t>3</w:t>
            </w:r>
            <w:r>
              <w:rPr>
                <w:rFonts w:cs="Arial"/>
                <w:color w:val="auto"/>
                <w:kern w:val="2"/>
                <w:szCs w:val="18"/>
                <w:lang w:val="en-US"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2398"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 xml:space="preserve">Case </w:t>
            </w:r>
            <w:r>
              <w:rPr>
                <w:rFonts w:hint="eastAsia" w:cs="Arial"/>
                <w:color w:val="auto"/>
                <w:kern w:val="2"/>
                <w:szCs w:val="18"/>
                <w:lang w:val="en-US" w:eastAsia="zh-CN"/>
              </w:rPr>
              <w:t>d</w:t>
            </w:r>
          </w:p>
        </w:tc>
        <w:tc>
          <w:tcPr>
            <w:tcW w:w="1506"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26dBm</w:t>
            </w:r>
          </w:p>
        </w:tc>
        <w:tc>
          <w:tcPr>
            <w:tcW w:w="1520"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26dBm</w:t>
            </w:r>
          </w:p>
        </w:tc>
        <w:tc>
          <w:tcPr>
            <w:tcW w:w="1520" w:type="dxa"/>
            <w:shd w:val="clear" w:color="auto" w:fill="auto"/>
          </w:tcPr>
          <w:p>
            <w:pPr>
              <w:pStyle w:val="143"/>
              <w:widowControl w:val="0"/>
              <w:jc w:val="both"/>
              <w:rPr>
                <w:rFonts w:cs="Arial"/>
                <w:color w:val="auto"/>
                <w:kern w:val="2"/>
                <w:szCs w:val="18"/>
                <w:lang w:val="en-US" w:eastAsia="zh-CN"/>
              </w:rPr>
            </w:pPr>
            <w:r>
              <w:rPr>
                <w:rFonts w:cs="Arial"/>
                <w:color w:val="auto"/>
                <w:kern w:val="2"/>
                <w:szCs w:val="18"/>
                <w:lang w:val="en-US" w:eastAsia="zh-CN"/>
              </w:rPr>
              <w:t>2</w:t>
            </w:r>
            <w:r>
              <w:rPr>
                <w:rFonts w:hint="eastAsia" w:cs="Arial"/>
                <w:color w:val="auto"/>
                <w:kern w:val="2"/>
                <w:szCs w:val="18"/>
                <w:lang w:val="en-US" w:eastAsia="zh-CN"/>
              </w:rPr>
              <w:t>6</w:t>
            </w:r>
            <w:r>
              <w:rPr>
                <w:rFonts w:cs="Arial"/>
                <w:color w:val="auto"/>
                <w:kern w:val="2"/>
                <w:szCs w:val="18"/>
                <w:lang w:val="en-US"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944" w:type="dxa"/>
            <w:gridSpan w:val="4"/>
            <w:shd w:val="clear" w:color="auto" w:fill="auto"/>
          </w:tcPr>
          <w:p>
            <w:pPr>
              <w:pStyle w:val="143"/>
              <w:widowControl w:val="0"/>
              <w:jc w:val="both"/>
              <w:rPr>
                <w:rFonts w:cs="Arial"/>
                <w:color w:val="auto"/>
                <w:kern w:val="2"/>
                <w:szCs w:val="18"/>
                <w:lang w:val="en-US" w:eastAsia="zh-CN"/>
              </w:rPr>
            </w:pPr>
            <w:r>
              <w:rPr>
                <w:rFonts w:hint="eastAsia" w:cs="Arial"/>
                <w:color w:val="auto"/>
                <w:kern w:val="2"/>
                <w:szCs w:val="18"/>
                <w:lang w:val="en-US" w:eastAsia="zh-CN"/>
              </w:rPr>
              <w:t xml:space="preserve">NOTE: The Carrier X and Y are one-by-one </w:t>
            </w:r>
            <w:r>
              <w:rPr>
                <w:rFonts w:cs="Arial"/>
                <w:color w:val="auto"/>
                <w:kern w:val="2"/>
                <w:szCs w:val="18"/>
                <w:lang w:val="en-US" w:eastAsia="zh-CN"/>
              </w:rPr>
              <w:t>corresponding</w:t>
            </w:r>
            <w:r>
              <w:rPr>
                <w:rFonts w:hint="eastAsia" w:cs="Arial"/>
                <w:color w:val="auto"/>
                <w:kern w:val="2"/>
                <w:szCs w:val="18"/>
                <w:lang w:val="en-US" w:eastAsia="zh-CN"/>
              </w:rPr>
              <w:t xml:space="preserve"> to carriers in CA configuration of CA_nXA-nYA</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More specifically, HPUE NR inter-band CA including FDD-TDD and TDD-TDD band combination, where: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For PC2 FDD-TDD NR CA, only FDD(PC3)+(either PC3 or PC2) TDD, i.e. Both Case a and Case b, are applied.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eastAsia" w:cs="Times New Roman"/>
          <w:b w:val="0"/>
          <w:bCs/>
          <w:color w:val="auto"/>
          <w:sz w:val="20"/>
          <w:szCs w:val="20"/>
          <w:lang w:val="en-US" w:eastAsia="zh-CN"/>
        </w:rPr>
        <w:t>-  For PC2 FDD-TDD NR CA, TDD(either PC3 or PC2)+(either PC3 or PC2) TDD, i.e. all of the cases, are applied.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As of today, the PC2 FDD single band is still under discussed, so we only discuss the PC2 NR inter-band CA with only PC3 single FDD band here.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As we know, for a certain inter-band band combination, no matter PC3 or PC2, the MSD requirements are needed to be defined if there are harmonic, receiver harmonic, intermodulation or cross band isolation issues. For these types of MSD requirements, all of them are related to the power of each bands. Therefore, the MSD requirements for PC2 NR inter-band CA should be defined to include all of the possible power configurations cases.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However, in current TS38.101-1 v17.3.0 specification, there are some problem for some MSD tables applying for the PC2 NR inter-band CA, which are discussed in the following texts in this contributions.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2.1  Current situation in TS38.101-1 v17.3.0</w:t>
      </w:r>
      <w:r>
        <w:rPr>
          <w:rFonts w:hint="eastAsia" w:cs="Times New Roman"/>
          <w:b/>
          <w:bCs/>
          <w:color w:val="auto"/>
          <w:sz w:val="20"/>
          <w:szCs w:val="20"/>
          <w:u w:val="single"/>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For the Power Class for PC2 inter-band CA (two bands), the above power configurations have already been reflected in the TS38.101-1 with a note below: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i/>
          <w:iCs/>
          <w:color w:val="auto"/>
          <w:sz w:val="20"/>
          <w:szCs w:val="20"/>
          <w:highlight w:val="none"/>
          <w:lang w:val="en-US" w:eastAsia="zh-CN" w:bidi="ar-SA"/>
        </w:rPr>
      </w:pPr>
      <w:r>
        <w:rPr>
          <w:rFonts w:hint="eastAsia" w:eastAsia="宋体" w:cs="Times New Roman"/>
          <w:b w:val="0"/>
          <w:bCs w:val="0"/>
          <w:i/>
          <w:iCs/>
          <w:color w:val="auto"/>
          <w:sz w:val="20"/>
          <w:szCs w:val="20"/>
          <w:highlight w:val="none"/>
          <w:lang w:val="en-US" w:eastAsia="zh-CN" w:bidi="ar-SA"/>
        </w:rPr>
        <w:t>NOTE 6:</w:t>
      </w:r>
      <w:r>
        <w:rPr>
          <w:rFonts w:hint="eastAsia" w:eastAsia="宋体" w:cs="Times New Roman"/>
          <w:b w:val="0"/>
          <w:bCs w:val="0"/>
          <w:i/>
          <w:iCs/>
          <w:color w:val="auto"/>
          <w:sz w:val="20"/>
          <w:szCs w:val="20"/>
          <w:highlight w:val="none"/>
          <w:lang w:val="en-US" w:eastAsia="zh-CN" w:bidi="ar-SA"/>
        </w:rPr>
        <w:tab/>
      </w:r>
      <w:r>
        <w:rPr>
          <w:rFonts w:hint="eastAsia" w:eastAsia="宋体" w:cs="Times New Roman"/>
          <w:b w:val="0"/>
          <w:bCs w:val="0"/>
          <w:i/>
          <w:iCs/>
          <w:color w:val="auto"/>
          <w:sz w:val="20"/>
          <w:szCs w:val="20"/>
          <w:highlight w:val="none"/>
          <w:lang w:val="en-US" w:eastAsia="zh-CN" w:bidi="ar-SA"/>
        </w:rPr>
        <w:t>The UE supports PC3 within NR FDD band, and supports either PC3 or PC2 within NR TDD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eastAsia="宋体" w:cs="Times New Roman"/>
          <w:b w:val="0"/>
          <w:bCs w:val="0"/>
          <w:color w:val="auto"/>
          <w:sz w:val="20"/>
          <w:szCs w:val="20"/>
          <w:highlight w:val="none"/>
          <w:lang w:val="en-US" w:eastAsia="zh-CN" w:bidi="ar-SA"/>
        </w:rPr>
        <w:t xml:space="preserve">For the MSD requirements, we summarize the current situation for the MSD requirements in </w:t>
      </w:r>
      <w:r>
        <w:rPr>
          <w:rFonts w:hint="eastAsia" w:cs="Times New Roman"/>
          <w:b w:val="0"/>
          <w:bCs/>
          <w:color w:val="auto"/>
          <w:sz w:val="20"/>
          <w:szCs w:val="20"/>
          <w:lang w:val="en-US" w:eastAsia="zh-CN"/>
        </w:rPr>
        <w:t>TS38.101-1 v17.3.0 as follow: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Table 1. </w:t>
      </w:r>
      <w:r>
        <w:rPr>
          <w:rFonts w:hint="eastAsia" w:eastAsia="宋体" w:cs="Times New Roman"/>
          <w:b w:val="0"/>
          <w:bCs w:val="0"/>
          <w:color w:val="auto"/>
          <w:sz w:val="20"/>
          <w:szCs w:val="20"/>
          <w:highlight w:val="none"/>
          <w:lang w:val="en-US" w:eastAsia="zh-CN" w:bidi="ar-SA"/>
        </w:rPr>
        <w:t xml:space="preserve">MSD requirements in </w:t>
      </w:r>
      <w:r>
        <w:rPr>
          <w:rFonts w:hint="eastAsia" w:cs="Times New Roman"/>
          <w:b w:val="0"/>
          <w:bCs/>
          <w:color w:val="auto"/>
          <w:sz w:val="20"/>
          <w:szCs w:val="20"/>
          <w:lang w:val="en-US" w:eastAsia="zh-CN"/>
        </w:rPr>
        <w:t>TS38.101-1 v17.3.0</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1"/>
        <w:gridCol w:w="5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keepNext/>
              <w:keepLines/>
              <w:pageBreakBefore w:val="0"/>
              <w:widowControl w:val="0"/>
              <w:numPr>
                <w:ilvl w:val="-1"/>
                <w:numId w:val="0"/>
              </w:numPr>
              <w:kinsoku/>
              <w:wordWrap/>
              <w:overflowPunct/>
              <w:topLinePunct w:val="0"/>
              <w:autoSpaceDE/>
              <w:autoSpaceDN/>
              <w:bidi w:val="0"/>
              <w:adjustRightInd/>
              <w:snapToGrid/>
              <w:spacing w:after="120"/>
              <w:jc w:val="center"/>
              <w:textAlignment w:val="auto"/>
              <w:outlineLvl w:val="9"/>
              <w:rPr>
                <w:rFonts w:hint="default" w:cs="Times New Roman"/>
                <w:b/>
                <w:bCs w:val="0"/>
                <w:color w:val="auto"/>
                <w:sz w:val="20"/>
                <w:szCs w:val="20"/>
                <w:vertAlign w:val="baseline"/>
                <w:lang w:val="en-US" w:eastAsia="zh-CN"/>
              </w:rPr>
            </w:pPr>
            <w:r>
              <w:rPr>
                <w:rFonts w:hint="eastAsia" w:cs="Times New Roman"/>
                <w:b/>
                <w:bCs w:val="0"/>
                <w:color w:val="auto"/>
                <w:sz w:val="20"/>
                <w:szCs w:val="20"/>
                <w:vertAlign w:val="baseline"/>
                <w:lang w:val="en-US" w:eastAsia="zh-CN" w:bidi="ar-SA"/>
              </w:rPr>
              <w:t>MSD tables</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120"/>
              <w:jc w:val="center"/>
              <w:textAlignment w:val="auto"/>
              <w:outlineLvl w:val="9"/>
              <w:rPr>
                <w:rFonts w:hint="default" w:cs="Times New Roman"/>
                <w:b/>
                <w:bCs w:val="0"/>
                <w:color w:val="auto"/>
                <w:sz w:val="20"/>
                <w:szCs w:val="20"/>
                <w:vertAlign w:val="baseline"/>
                <w:lang w:val="en-US" w:eastAsia="zh-CN"/>
              </w:rPr>
            </w:pPr>
            <w:r>
              <w:rPr>
                <w:rFonts w:hint="eastAsia" w:cs="Times New Roman"/>
                <w:b/>
                <w:bCs w:val="0"/>
                <w:color w:val="auto"/>
                <w:sz w:val="20"/>
                <w:szCs w:val="20"/>
                <w:vertAlign w:val="baseline"/>
                <w:lang w:val="en-US" w:eastAsia="zh-CN"/>
              </w:rPr>
              <w:t>PC3 or PC2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pStyle w:val="168"/>
              <w:keepNext/>
              <w:keepLines/>
              <w:pageBreakBefore w:val="0"/>
              <w:kinsoku/>
              <w:wordWrap/>
              <w:overflowPunct/>
              <w:topLinePunct w:val="0"/>
              <w:autoSpaceDE/>
              <w:autoSpaceDN/>
              <w:bidi w:val="0"/>
              <w:adjustRightInd/>
              <w:snapToGrid/>
              <w:spacing w:before="0" w:after="0"/>
              <w:jc w:val="left"/>
              <w:textAlignment w:val="auto"/>
              <w:rPr>
                <w:rFonts w:hint="eastAsia" w:cs="Times New Roman"/>
                <w:b w:val="0"/>
                <w:bCs/>
                <w:color w:val="auto"/>
                <w:sz w:val="20"/>
                <w:szCs w:val="20"/>
                <w:vertAlign w:val="baseline"/>
                <w:lang w:val="en-US" w:eastAsia="zh-CN"/>
              </w:rPr>
            </w:pPr>
            <w:r>
              <w:rPr>
                <w:rFonts w:hint="eastAsia" w:ascii="Times New Roman" w:hAnsi="Times New Roman" w:eastAsia="MS Mincho" w:cs="Times New Roman"/>
                <w:b/>
                <w:bCs w:val="0"/>
                <w:color w:val="auto"/>
                <w:kern w:val="0"/>
                <w:sz w:val="20"/>
                <w:szCs w:val="20"/>
                <w:vertAlign w:val="baseline"/>
                <w:lang w:val="en-US" w:eastAsia="zh-CN" w:bidi="ar-SA"/>
              </w:rPr>
              <w:t xml:space="preserve">Table 7.3A.4-1: </w:t>
            </w:r>
            <w:r>
              <w:rPr>
                <w:rFonts w:hint="eastAsia" w:ascii="Times New Roman" w:hAnsi="Times New Roman" w:eastAsia="MS Mincho" w:cs="Times New Roman"/>
                <w:b w:val="0"/>
                <w:bCs/>
                <w:color w:val="auto"/>
                <w:kern w:val="0"/>
                <w:sz w:val="20"/>
                <w:szCs w:val="20"/>
                <w:vertAlign w:val="baseline"/>
                <w:lang w:val="en-US" w:eastAsia="zh-CN" w:bidi="ar-SA"/>
              </w:rPr>
              <w:t xml:space="preserve">Reference sensitivity exceptions due to UL harmonic </w:t>
            </w:r>
            <w:r>
              <w:rPr>
                <w:rFonts w:hint="eastAsia" w:ascii="Times New Roman" w:hAnsi="Times New Roman" w:eastAsia="MS Mincho" w:cs="Times New Roman"/>
                <w:b w:val="0"/>
                <w:bCs/>
                <w:color w:val="auto"/>
                <w:kern w:val="0"/>
                <w:sz w:val="20"/>
                <w:szCs w:val="20"/>
                <w:highlight w:val="yellow"/>
                <w:vertAlign w:val="baseline"/>
                <w:lang w:val="en-US" w:eastAsia="zh-CN" w:bidi="ar-SA"/>
              </w:rPr>
              <w:t>for NR CA</w:t>
            </w:r>
            <w:r>
              <w:rPr>
                <w:rFonts w:hint="eastAsia" w:ascii="Times New Roman" w:hAnsi="Times New Roman" w:eastAsia="MS Mincho" w:cs="Times New Roman"/>
                <w:b w:val="0"/>
                <w:bCs/>
                <w:color w:val="auto"/>
                <w:kern w:val="0"/>
                <w:sz w:val="20"/>
                <w:szCs w:val="20"/>
                <w:vertAlign w:val="baseline"/>
                <w:lang w:val="en-US" w:eastAsia="zh-CN" w:bidi="ar-SA"/>
              </w:rPr>
              <w:t xml:space="preserve"> FR1</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default"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The table includes the MSD due to harmonic exception for the DL band, i.e. n*FDD UL = TDD DL</w:t>
            </w:r>
          </w:p>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default"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However, no distinguish between PC3 or PC2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pStyle w:val="168"/>
              <w:keepNext/>
              <w:keepLines/>
              <w:pageBreakBefore w:val="0"/>
              <w:kinsoku/>
              <w:wordWrap/>
              <w:overflowPunct/>
              <w:topLinePunct w:val="0"/>
              <w:autoSpaceDE/>
              <w:autoSpaceDN/>
              <w:bidi w:val="0"/>
              <w:adjustRightInd/>
              <w:snapToGrid/>
              <w:spacing w:before="0" w:after="0"/>
              <w:jc w:val="left"/>
              <w:textAlignment w:val="auto"/>
              <w:rPr>
                <w:rFonts w:hint="eastAsia" w:cs="Times New Roman"/>
                <w:b w:val="0"/>
                <w:bCs/>
                <w:color w:val="auto"/>
                <w:sz w:val="20"/>
                <w:szCs w:val="20"/>
                <w:vertAlign w:val="baseline"/>
                <w:lang w:val="en-US" w:eastAsia="zh-CN"/>
              </w:rPr>
            </w:pPr>
            <w:r>
              <w:rPr>
                <w:rFonts w:hint="eastAsia" w:ascii="Times New Roman" w:hAnsi="Times New Roman" w:eastAsia="MS Mincho" w:cs="Times New Roman"/>
                <w:b/>
                <w:bCs w:val="0"/>
                <w:color w:val="auto"/>
                <w:kern w:val="0"/>
                <w:sz w:val="20"/>
                <w:szCs w:val="20"/>
                <w:vertAlign w:val="baseline"/>
                <w:lang w:val="en-US" w:eastAsia="ja-JP" w:bidi="ar-SA"/>
              </w:rPr>
              <w:t>Table 7.3A.</w:t>
            </w:r>
            <w:r>
              <w:rPr>
                <w:rFonts w:hint="eastAsia" w:ascii="Times New Roman" w:hAnsi="Times New Roman" w:eastAsia="MS Mincho" w:cs="Times New Roman"/>
                <w:b/>
                <w:bCs w:val="0"/>
                <w:color w:val="auto"/>
                <w:kern w:val="0"/>
                <w:sz w:val="20"/>
                <w:szCs w:val="20"/>
                <w:vertAlign w:val="baseline"/>
                <w:lang w:val="en-US" w:eastAsia="zh-CN" w:bidi="ar-SA"/>
              </w:rPr>
              <w:t>4</w:t>
            </w:r>
            <w:r>
              <w:rPr>
                <w:rFonts w:hint="eastAsia" w:ascii="Times New Roman" w:hAnsi="Times New Roman" w:eastAsia="MS Mincho" w:cs="Times New Roman"/>
                <w:b/>
                <w:bCs w:val="0"/>
                <w:color w:val="auto"/>
                <w:kern w:val="0"/>
                <w:sz w:val="20"/>
                <w:szCs w:val="20"/>
                <w:vertAlign w:val="baseline"/>
                <w:lang w:val="en-US" w:eastAsia="ja-JP" w:bidi="ar-SA"/>
              </w:rPr>
              <w:t>-4:</w:t>
            </w:r>
            <w:r>
              <w:rPr>
                <w:rFonts w:hint="eastAsia" w:ascii="Times New Roman" w:hAnsi="Times New Roman" w:eastAsia="MS Mincho" w:cs="Times New Roman"/>
                <w:b w:val="0"/>
                <w:bCs/>
                <w:color w:val="auto"/>
                <w:kern w:val="0"/>
                <w:sz w:val="20"/>
                <w:szCs w:val="20"/>
                <w:vertAlign w:val="baseline"/>
                <w:lang w:val="en-US" w:eastAsia="ja-JP" w:bidi="ar-SA"/>
              </w:rPr>
              <w:t xml:space="preserve"> Reference sensitivity exceptions due to harmonic mixing </w:t>
            </w:r>
            <w:r>
              <w:rPr>
                <w:rFonts w:hint="eastAsia" w:ascii="Times New Roman" w:hAnsi="Times New Roman" w:eastAsia="MS Mincho" w:cs="Times New Roman"/>
                <w:b w:val="0"/>
                <w:bCs/>
                <w:color w:val="auto"/>
                <w:kern w:val="0"/>
                <w:sz w:val="20"/>
                <w:szCs w:val="20"/>
                <w:highlight w:val="yellow"/>
                <w:vertAlign w:val="baseline"/>
                <w:lang w:val="en-US" w:eastAsia="ja-JP" w:bidi="ar-SA"/>
              </w:rPr>
              <w:t xml:space="preserve">for </w:t>
            </w:r>
            <w:r>
              <w:rPr>
                <w:rFonts w:hint="eastAsia" w:ascii="Times New Roman" w:hAnsi="Times New Roman" w:eastAsia="MS Mincho" w:cs="Times New Roman"/>
                <w:b w:val="0"/>
                <w:bCs/>
                <w:color w:val="auto"/>
                <w:kern w:val="0"/>
                <w:sz w:val="20"/>
                <w:szCs w:val="20"/>
                <w:highlight w:val="yellow"/>
                <w:vertAlign w:val="baseline"/>
                <w:lang w:val="en-US" w:eastAsia="zh-CN" w:bidi="ar-SA"/>
              </w:rPr>
              <w:t xml:space="preserve">PC3 </w:t>
            </w:r>
            <w:r>
              <w:rPr>
                <w:rFonts w:hint="eastAsia" w:ascii="Times New Roman" w:hAnsi="Times New Roman" w:eastAsia="MS Mincho" w:cs="Times New Roman"/>
                <w:b w:val="0"/>
                <w:bCs/>
                <w:color w:val="auto"/>
                <w:kern w:val="0"/>
                <w:sz w:val="20"/>
                <w:szCs w:val="20"/>
                <w:highlight w:val="yellow"/>
                <w:vertAlign w:val="baseline"/>
                <w:lang w:val="en-US" w:eastAsia="ja-JP" w:bidi="ar-SA"/>
              </w:rPr>
              <w:t>CA</w:t>
            </w:r>
            <w:r>
              <w:rPr>
                <w:rFonts w:hint="eastAsia" w:ascii="Times New Roman" w:hAnsi="Times New Roman" w:eastAsia="MS Mincho" w:cs="Times New Roman"/>
                <w:b w:val="0"/>
                <w:bCs/>
                <w:color w:val="auto"/>
                <w:kern w:val="0"/>
                <w:sz w:val="20"/>
                <w:szCs w:val="20"/>
                <w:vertAlign w:val="baseline"/>
                <w:lang w:val="en-US" w:eastAsia="ja-JP" w:bidi="ar-SA"/>
              </w:rPr>
              <w:t xml:space="preserve"> in NR FR1</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 xml:space="preserve">The table includes the MSD due to </w:t>
            </w:r>
            <w:r>
              <w:rPr>
                <w:rFonts w:hint="eastAsia" w:ascii="Times New Roman" w:hAnsi="Times New Roman" w:eastAsia="MS Mincho" w:cs="Times New Roman"/>
                <w:b w:val="0"/>
                <w:bCs/>
                <w:color w:val="auto"/>
                <w:kern w:val="0"/>
                <w:sz w:val="20"/>
                <w:szCs w:val="20"/>
                <w:vertAlign w:val="baseline"/>
                <w:lang w:val="en-US" w:eastAsia="ja-JP" w:bidi="ar-SA"/>
              </w:rPr>
              <w:t>harmonic mixing</w:t>
            </w:r>
            <w:r>
              <w:rPr>
                <w:rFonts w:hint="eastAsia" w:eastAsia="宋体" w:cs="Times New Roman"/>
                <w:b w:val="0"/>
                <w:bCs/>
                <w:color w:val="auto"/>
                <w:kern w:val="0"/>
                <w:sz w:val="20"/>
                <w:szCs w:val="20"/>
                <w:vertAlign w:val="baseline"/>
                <w:lang w:val="en-US" w:eastAsia="zh-CN" w:bidi="ar-SA"/>
              </w:rPr>
              <w:t xml:space="preserve">, and the table is </w:t>
            </w:r>
            <w:r>
              <w:rPr>
                <w:rFonts w:hint="eastAsia" w:cs="Times New Roman"/>
                <w:b w:val="0"/>
                <w:bCs/>
                <w:color w:val="auto"/>
                <w:sz w:val="20"/>
                <w:szCs w:val="20"/>
                <w:vertAlign w:val="baseline"/>
                <w:lang w:val="en-US" w:eastAsia="zh-CN"/>
              </w:rPr>
              <w:t xml:space="preserve">for PC3.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pStyle w:val="168"/>
              <w:keepNext/>
              <w:keepLines/>
              <w:pageBreakBefore w:val="0"/>
              <w:kinsoku/>
              <w:wordWrap/>
              <w:overflowPunct/>
              <w:topLinePunct w:val="0"/>
              <w:autoSpaceDE/>
              <w:autoSpaceDN/>
              <w:bidi w:val="0"/>
              <w:adjustRightInd/>
              <w:snapToGrid/>
              <w:spacing w:before="0" w:after="0"/>
              <w:jc w:val="left"/>
              <w:textAlignment w:val="auto"/>
              <w:rPr>
                <w:rFonts w:hint="eastAsia" w:cs="Times New Roman"/>
                <w:b w:val="0"/>
                <w:bCs/>
                <w:color w:val="auto"/>
                <w:sz w:val="20"/>
                <w:szCs w:val="20"/>
                <w:vertAlign w:val="baseline"/>
                <w:lang w:val="en-US" w:eastAsia="zh-CN"/>
              </w:rPr>
            </w:pPr>
            <w:r>
              <w:rPr>
                <w:rFonts w:hint="eastAsia" w:ascii="Times New Roman" w:hAnsi="Times New Roman" w:eastAsia="MS Mincho" w:cs="Times New Roman"/>
                <w:b/>
                <w:bCs w:val="0"/>
                <w:color w:val="auto"/>
                <w:kern w:val="0"/>
                <w:sz w:val="20"/>
                <w:szCs w:val="20"/>
                <w:vertAlign w:val="baseline"/>
                <w:lang w:val="en-US" w:eastAsia="ja-JP" w:bidi="ar-SA"/>
              </w:rPr>
              <w:t>Table 7.3A.</w:t>
            </w:r>
            <w:r>
              <w:rPr>
                <w:rFonts w:hint="eastAsia" w:ascii="Times New Roman" w:hAnsi="Times New Roman" w:eastAsia="MS Mincho" w:cs="Times New Roman"/>
                <w:b/>
                <w:bCs w:val="0"/>
                <w:color w:val="auto"/>
                <w:kern w:val="0"/>
                <w:sz w:val="20"/>
                <w:szCs w:val="20"/>
                <w:vertAlign w:val="baseline"/>
                <w:lang w:val="en-US" w:eastAsia="zh-CN" w:bidi="ar-SA"/>
              </w:rPr>
              <w:t>4</w:t>
            </w:r>
            <w:r>
              <w:rPr>
                <w:rFonts w:hint="eastAsia" w:ascii="Times New Roman" w:hAnsi="Times New Roman" w:eastAsia="MS Mincho" w:cs="Times New Roman"/>
                <w:b/>
                <w:bCs w:val="0"/>
                <w:color w:val="auto"/>
                <w:kern w:val="0"/>
                <w:sz w:val="20"/>
                <w:szCs w:val="20"/>
                <w:vertAlign w:val="baseline"/>
                <w:lang w:val="en-US" w:eastAsia="ja-JP" w:bidi="ar-SA"/>
              </w:rPr>
              <w:t>-4</w:t>
            </w:r>
            <w:r>
              <w:rPr>
                <w:rFonts w:hint="eastAsia" w:ascii="Times New Roman" w:hAnsi="Times New Roman" w:eastAsia="MS Mincho" w:cs="Times New Roman"/>
                <w:b/>
                <w:bCs w:val="0"/>
                <w:color w:val="auto"/>
                <w:kern w:val="0"/>
                <w:sz w:val="20"/>
                <w:szCs w:val="20"/>
                <w:vertAlign w:val="baseline"/>
                <w:lang w:val="en-US" w:eastAsia="zh-CN" w:bidi="ar-SA"/>
              </w:rPr>
              <w:t>a</w:t>
            </w:r>
            <w:r>
              <w:rPr>
                <w:rFonts w:hint="eastAsia" w:ascii="Times New Roman" w:hAnsi="Times New Roman" w:eastAsia="MS Mincho" w:cs="Times New Roman"/>
                <w:b/>
                <w:bCs w:val="0"/>
                <w:color w:val="auto"/>
                <w:kern w:val="0"/>
                <w:sz w:val="20"/>
                <w:szCs w:val="20"/>
                <w:vertAlign w:val="baseline"/>
                <w:lang w:val="en-US" w:eastAsia="ja-JP" w:bidi="ar-SA"/>
              </w:rPr>
              <w:t xml:space="preserve">: </w:t>
            </w:r>
            <w:r>
              <w:rPr>
                <w:rFonts w:hint="eastAsia" w:ascii="Times New Roman" w:hAnsi="Times New Roman" w:eastAsia="MS Mincho" w:cs="Times New Roman"/>
                <w:b w:val="0"/>
                <w:bCs/>
                <w:color w:val="auto"/>
                <w:kern w:val="0"/>
                <w:sz w:val="20"/>
                <w:szCs w:val="20"/>
                <w:vertAlign w:val="baseline"/>
                <w:lang w:val="en-US" w:eastAsia="ja-JP" w:bidi="ar-SA"/>
              </w:rPr>
              <w:t xml:space="preserve">Reference sensitivity exceptions due to harmonic mixing </w:t>
            </w:r>
            <w:r>
              <w:rPr>
                <w:rFonts w:hint="eastAsia" w:ascii="Times New Roman" w:hAnsi="Times New Roman" w:eastAsia="MS Mincho" w:cs="Times New Roman"/>
                <w:b w:val="0"/>
                <w:bCs/>
                <w:color w:val="auto"/>
                <w:kern w:val="0"/>
                <w:sz w:val="20"/>
                <w:szCs w:val="20"/>
                <w:highlight w:val="yellow"/>
                <w:vertAlign w:val="baseline"/>
                <w:lang w:val="en-US" w:eastAsia="ja-JP" w:bidi="ar-SA"/>
              </w:rPr>
              <w:t>for</w:t>
            </w:r>
            <w:r>
              <w:rPr>
                <w:rFonts w:hint="eastAsia" w:ascii="Times New Roman" w:hAnsi="Times New Roman" w:eastAsia="MS Mincho" w:cs="Times New Roman"/>
                <w:b w:val="0"/>
                <w:bCs/>
                <w:color w:val="auto"/>
                <w:kern w:val="0"/>
                <w:sz w:val="20"/>
                <w:szCs w:val="20"/>
                <w:highlight w:val="yellow"/>
                <w:vertAlign w:val="baseline"/>
                <w:lang w:val="en-US" w:eastAsia="zh-CN" w:bidi="ar-SA"/>
              </w:rPr>
              <w:t xml:space="preserve"> PC2</w:t>
            </w:r>
            <w:r>
              <w:rPr>
                <w:rFonts w:hint="eastAsia" w:ascii="Times New Roman" w:hAnsi="Times New Roman" w:eastAsia="MS Mincho" w:cs="Times New Roman"/>
                <w:b w:val="0"/>
                <w:bCs/>
                <w:color w:val="auto"/>
                <w:kern w:val="0"/>
                <w:sz w:val="20"/>
                <w:szCs w:val="20"/>
                <w:highlight w:val="yellow"/>
                <w:vertAlign w:val="baseline"/>
                <w:lang w:val="en-US" w:eastAsia="ja-JP" w:bidi="ar-SA"/>
              </w:rPr>
              <w:t xml:space="preserve"> CA</w:t>
            </w:r>
            <w:r>
              <w:rPr>
                <w:rFonts w:hint="eastAsia" w:ascii="Times New Roman" w:hAnsi="Times New Roman" w:eastAsia="MS Mincho" w:cs="Times New Roman"/>
                <w:b w:val="0"/>
                <w:bCs/>
                <w:color w:val="auto"/>
                <w:kern w:val="0"/>
                <w:sz w:val="20"/>
                <w:szCs w:val="20"/>
                <w:vertAlign w:val="baseline"/>
                <w:lang w:val="en-US" w:eastAsia="ja-JP" w:bidi="ar-SA"/>
              </w:rPr>
              <w:t xml:space="preserve"> in NR FR1</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default"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 xml:space="preserve">The table includes the MSD due to </w:t>
            </w:r>
            <w:r>
              <w:rPr>
                <w:rFonts w:hint="eastAsia" w:ascii="Times New Roman" w:hAnsi="Times New Roman" w:eastAsia="MS Mincho" w:cs="Times New Roman"/>
                <w:b w:val="0"/>
                <w:bCs/>
                <w:color w:val="auto"/>
                <w:kern w:val="0"/>
                <w:sz w:val="20"/>
                <w:szCs w:val="20"/>
                <w:vertAlign w:val="baseline"/>
                <w:lang w:val="en-US" w:eastAsia="ja-JP" w:bidi="ar-SA"/>
              </w:rPr>
              <w:t>harmonic mixing</w:t>
            </w:r>
            <w:r>
              <w:rPr>
                <w:rFonts w:hint="eastAsia" w:eastAsia="宋体" w:cs="Times New Roman"/>
                <w:b w:val="0"/>
                <w:bCs/>
                <w:color w:val="auto"/>
                <w:kern w:val="0"/>
                <w:sz w:val="20"/>
                <w:szCs w:val="20"/>
                <w:vertAlign w:val="baseline"/>
                <w:lang w:val="en-US" w:eastAsia="zh-CN" w:bidi="ar-SA"/>
              </w:rPr>
              <w:t xml:space="preserve">, and the table is </w:t>
            </w:r>
            <w:r>
              <w:rPr>
                <w:rFonts w:hint="eastAsia" w:cs="Times New Roman"/>
                <w:b w:val="0"/>
                <w:bCs/>
                <w:color w:val="auto"/>
                <w:sz w:val="20"/>
                <w:szCs w:val="20"/>
                <w:vertAlign w:val="baseline"/>
                <w:lang w:val="en-US" w:eastAsia="zh-CN"/>
              </w:rPr>
              <w:t>for PC2. However, it is not clear which power allocations of each band are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pStyle w:val="168"/>
              <w:keepNext/>
              <w:keepLines/>
              <w:pageBreakBefore w:val="0"/>
              <w:kinsoku/>
              <w:wordWrap/>
              <w:overflowPunct/>
              <w:topLinePunct w:val="0"/>
              <w:autoSpaceDE/>
              <w:autoSpaceDN/>
              <w:bidi w:val="0"/>
              <w:adjustRightInd/>
              <w:snapToGrid/>
              <w:spacing w:before="0" w:after="0"/>
              <w:jc w:val="left"/>
              <w:textAlignment w:val="auto"/>
              <w:rPr>
                <w:rFonts w:hint="eastAsia" w:cs="Times New Roman"/>
                <w:b w:val="0"/>
                <w:bCs/>
                <w:color w:val="auto"/>
                <w:sz w:val="20"/>
                <w:szCs w:val="20"/>
                <w:vertAlign w:val="baseline"/>
                <w:lang w:val="en-US" w:eastAsia="zh-CN"/>
              </w:rPr>
            </w:pPr>
            <w:r>
              <w:rPr>
                <w:rFonts w:hint="eastAsia" w:ascii="Times New Roman" w:hAnsi="Times New Roman" w:eastAsia="MS Mincho" w:cs="Times New Roman"/>
                <w:b/>
                <w:bCs w:val="0"/>
                <w:color w:val="auto"/>
                <w:kern w:val="0"/>
                <w:sz w:val="20"/>
                <w:szCs w:val="20"/>
                <w:vertAlign w:val="baseline"/>
                <w:lang w:val="en-US" w:eastAsia="zh-CN" w:bidi="ar-SA"/>
              </w:rPr>
              <w:t xml:space="preserve">Table 7.3A.5-1: </w:t>
            </w:r>
            <w:r>
              <w:rPr>
                <w:rFonts w:hint="eastAsia" w:ascii="Times New Roman" w:hAnsi="Times New Roman" w:eastAsia="MS Mincho" w:cs="Times New Roman"/>
                <w:b w:val="0"/>
                <w:bCs/>
                <w:color w:val="auto"/>
                <w:kern w:val="0"/>
                <w:sz w:val="20"/>
                <w:szCs w:val="20"/>
                <w:vertAlign w:val="baseline"/>
                <w:lang w:val="en-US" w:eastAsia="zh-CN" w:bidi="ar-SA"/>
              </w:rPr>
              <w:t xml:space="preserve">2DL/2UL interband Reference sensitivity QPSK PREFSENS and uplink/downlink configurations </w:t>
            </w:r>
            <w:r>
              <w:rPr>
                <w:rFonts w:hint="eastAsia" w:ascii="Times New Roman" w:hAnsi="Times New Roman" w:eastAsia="MS Mincho" w:cs="Times New Roman"/>
                <w:b w:val="0"/>
                <w:bCs/>
                <w:color w:val="auto"/>
                <w:kern w:val="0"/>
                <w:sz w:val="20"/>
                <w:szCs w:val="20"/>
                <w:highlight w:val="yellow"/>
                <w:vertAlign w:val="baseline"/>
                <w:lang w:val="en-US" w:eastAsia="zh-CN" w:bidi="ar-SA"/>
              </w:rPr>
              <w:t>for PC3 CA</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The table includes the MSD due to 2UL intermodulation</w:t>
            </w:r>
            <w:r>
              <w:rPr>
                <w:rFonts w:hint="eastAsia" w:eastAsia="宋体" w:cs="Times New Roman"/>
                <w:b w:val="0"/>
                <w:bCs/>
                <w:color w:val="auto"/>
                <w:kern w:val="0"/>
                <w:sz w:val="20"/>
                <w:szCs w:val="20"/>
                <w:vertAlign w:val="baseline"/>
                <w:lang w:val="en-US" w:eastAsia="zh-CN" w:bidi="ar-SA"/>
              </w:rPr>
              <w:t xml:space="preserve">, and the table is </w:t>
            </w:r>
            <w:r>
              <w:rPr>
                <w:rFonts w:hint="eastAsia" w:cs="Times New Roman"/>
                <w:b w:val="0"/>
                <w:bCs/>
                <w:color w:val="auto"/>
                <w:sz w:val="20"/>
                <w:szCs w:val="20"/>
                <w:vertAlign w:val="baseline"/>
                <w:lang w:val="en-US" w:eastAsia="zh-CN"/>
              </w:rPr>
              <w:t xml:space="preserve">for PC3.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pStyle w:val="168"/>
              <w:keepNext/>
              <w:keepLines/>
              <w:pageBreakBefore w:val="0"/>
              <w:kinsoku/>
              <w:wordWrap/>
              <w:overflowPunct/>
              <w:topLinePunct w:val="0"/>
              <w:autoSpaceDE/>
              <w:autoSpaceDN/>
              <w:bidi w:val="0"/>
              <w:adjustRightInd/>
              <w:snapToGrid/>
              <w:spacing w:before="0" w:after="0"/>
              <w:jc w:val="left"/>
              <w:textAlignment w:val="auto"/>
              <w:rPr>
                <w:rFonts w:hint="eastAsia" w:cs="Times New Roman"/>
                <w:b w:val="0"/>
                <w:bCs/>
                <w:color w:val="auto"/>
                <w:sz w:val="20"/>
                <w:szCs w:val="20"/>
                <w:vertAlign w:val="baseline"/>
                <w:lang w:val="en-US" w:eastAsia="zh-CN"/>
              </w:rPr>
            </w:pPr>
            <w:r>
              <w:rPr>
                <w:rFonts w:hint="eastAsia" w:ascii="Times New Roman" w:hAnsi="Times New Roman" w:eastAsia="MS Mincho" w:cs="Times New Roman"/>
                <w:b/>
                <w:bCs w:val="0"/>
                <w:color w:val="auto"/>
                <w:kern w:val="0"/>
                <w:sz w:val="20"/>
                <w:szCs w:val="20"/>
                <w:vertAlign w:val="baseline"/>
                <w:lang w:val="en-US" w:eastAsia="zh-CN" w:bidi="ar-SA"/>
              </w:rPr>
              <w:t xml:space="preserve">Table 7.3A.5-1a: </w:t>
            </w:r>
            <w:r>
              <w:rPr>
                <w:rFonts w:hint="eastAsia" w:ascii="Times New Roman" w:hAnsi="Times New Roman" w:eastAsia="MS Mincho" w:cs="Times New Roman"/>
                <w:b w:val="0"/>
                <w:bCs/>
                <w:color w:val="auto"/>
                <w:kern w:val="0"/>
                <w:sz w:val="20"/>
                <w:szCs w:val="20"/>
                <w:vertAlign w:val="baseline"/>
                <w:lang w:val="en-US" w:eastAsia="zh-CN" w:bidi="ar-SA"/>
              </w:rPr>
              <w:t xml:space="preserve">2DL/2UL interband Reference sensitivity QPSK PREFSENS and uplink/downlink configurations </w:t>
            </w:r>
            <w:r>
              <w:rPr>
                <w:rFonts w:hint="eastAsia" w:ascii="Times New Roman" w:hAnsi="Times New Roman" w:eastAsia="MS Mincho" w:cs="Times New Roman"/>
                <w:b w:val="0"/>
                <w:bCs/>
                <w:color w:val="auto"/>
                <w:kern w:val="0"/>
                <w:sz w:val="20"/>
                <w:szCs w:val="20"/>
                <w:highlight w:val="yellow"/>
                <w:vertAlign w:val="baseline"/>
                <w:lang w:val="en-US" w:eastAsia="zh-CN" w:bidi="ar-SA"/>
              </w:rPr>
              <w:t>for PC2 CA</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default"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The table includes the MSD due to 2UL intermodulation</w:t>
            </w:r>
            <w:r>
              <w:rPr>
                <w:rFonts w:hint="eastAsia" w:eastAsia="宋体" w:cs="Times New Roman"/>
                <w:b w:val="0"/>
                <w:bCs/>
                <w:color w:val="auto"/>
                <w:kern w:val="0"/>
                <w:sz w:val="20"/>
                <w:szCs w:val="20"/>
                <w:vertAlign w:val="baseline"/>
                <w:lang w:val="en-US" w:eastAsia="zh-CN" w:bidi="ar-SA"/>
              </w:rPr>
              <w:t xml:space="preserve">, and the table is </w:t>
            </w:r>
            <w:r>
              <w:rPr>
                <w:rFonts w:hint="eastAsia" w:cs="Times New Roman"/>
                <w:b w:val="0"/>
                <w:bCs/>
                <w:color w:val="auto"/>
                <w:sz w:val="20"/>
                <w:szCs w:val="20"/>
                <w:vertAlign w:val="baseline"/>
                <w:lang w:val="en-US" w:eastAsia="zh-CN"/>
              </w:rPr>
              <w:t>for PC2 FDD-TDD combination. However, it is not clear which power allocations of each band are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pStyle w:val="168"/>
              <w:keepNext/>
              <w:keepLines/>
              <w:pageBreakBefore w:val="0"/>
              <w:kinsoku/>
              <w:wordWrap/>
              <w:overflowPunct/>
              <w:topLinePunct w:val="0"/>
              <w:autoSpaceDE/>
              <w:autoSpaceDN/>
              <w:bidi w:val="0"/>
              <w:adjustRightInd/>
              <w:snapToGrid/>
              <w:spacing w:before="0" w:after="0"/>
              <w:jc w:val="left"/>
              <w:textAlignment w:val="auto"/>
              <w:rPr>
                <w:rFonts w:hint="eastAsia" w:cs="Times New Roman"/>
                <w:b w:val="0"/>
                <w:bCs/>
                <w:color w:val="auto"/>
                <w:sz w:val="20"/>
                <w:szCs w:val="20"/>
                <w:vertAlign w:val="baseline"/>
                <w:lang w:val="en-US" w:eastAsia="zh-CN"/>
              </w:rPr>
            </w:pPr>
            <w:r>
              <w:rPr>
                <w:rFonts w:hint="eastAsia" w:ascii="Times New Roman" w:hAnsi="Times New Roman" w:eastAsia="MS Mincho" w:cs="Times New Roman"/>
                <w:b/>
                <w:bCs w:val="0"/>
                <w:color w:val="auto"/>
                <w:kern w:val="0"/>
                <w:sz w:val="20"/>
                <w:szCs w:val="20"/>
                <w:vertAlign w:val="baseline"/>
                <w:lang w:val="en-US" w:eastAsia="zh-CN" w:bidi="ar-SA"/>
              </w:rPr>
              <w:t xml:space="preserve">Table 7.3A.6-1: </w:t>
            </w:r>
            <w:r>
              <w:rPr>
                <w:rFonts w:hint="eastAsia" w:ascii="Times New Roman" w:hAnsi="Times New Roman" w:eastAsia="MS Mincho" w:cs="Times New Roman"/>
                <w:b w:val="0"/>
                <w:bCs/>
                <w:color w:val="auto"/>
                <w:kern w:val="0"/>
                <w:sz w:val="20"/>
                <w:szCs w:val="20"/>
                <w:vertAlign w:val="baseline"/>
                <w:lang w:val="en-US" w:eastAsia="zh-CN" w:bidi="ar-SA"/>
              </w:rPr>
              <w:t xml:space="preserve">Reference sensitivity exceptions (MSD) due to cross band isolation for NR CA FR1 </w:t>
            </w:r>
            <w:r>
              <w:rPr>
                <w:rFonts w:hint="eastAsia" w:ascii="Times New Roman" w:hAnsi="Times New Roman" w:eastAsia="MS Mincho" w:cs="Times New Roman"/>
                <w:b w:val="0"/>
                <w:bCs/>
                <w:color w:val="auto"/>
                <w:kern w:val="0"/>
                <w:sz w:val="20"/>
                <w:szCs w:val="20"/>
                <w:highlight w:val="yellow"/>
                <w:vertAlign w:val="baseline"/>
                <w:lang w:val="en-US" w:eastAsia="zh-CN" w:bidi="ar-SA"/>
              </w:rPr>
              <w:t>for PC3 CA</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The table includes the MSD due to cross band isolation</w:t>
            </w:r>
            <w:r>
              <w:rPr>
                <w:rFonts w:hint="eastAsia" w:eastAsia="宋体" w:cs="Times New Roman"/>
                <w:b w:val="0"/>
                <w:bCs/>
                <w:color w:val="auto"/>
                <w:kern w:val="0"/>
                <w:sz w:val="20"/>
                <w:szCs w:val="20"/>
                <w:vertAlign w:val="baseline"/>
                <w:lang w:val="en-US" w:eastAsia="zh-CN" w:bidi="ar-SA"/>
              </w:rPr>
              <w:t xml:space="preserve">, and the table is </w:t>
            </w:r>
            <w:r>
              <w:rPr>
                <w:rFonts w:hint="eastAsia" w:cs="Times New Roman"/>
                <w:b w:val="0"/>
                <w:bCs/>
                <w:color w:val="auto"/>
                <w:sz w:val="20"/>
                <w:szCs w:val="20"/>
                <w:vertAlign w:val="baseline"/>
                <w:lang w:val="en-US" w:eastAsia="zh-CN"/>
              </w:rPr>
              <w:t xml:space="preserve">for PC3.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1" w:type="dxa"/>
          </w:tcPr>
          <w:p>
            <w:pPr>
              <w:pStyle w:val="168"/>
              <w:keepNext/>
              <w:keepLines/>
              <w:pageBreakBefore w:val="0"/>
              <w:kinsoku/>
              <w:wordWrap/>
              <w:overflowPunct/>
              <w:topLinePunct w:val="0"/>
              <w:autoSpaceDE/>
              <w:autoSpaceDN/>
              <w:bidi w:val="0"/>
              <w:adjustRightInd/>
              <w:snapToGrid/>
              <w:spacing w:before="0" w:after="0"/>
              <w:jc w:val="left"/>
              <w:textAlignment w:val="auto"/>
              <w:rPr>
                <w:rFonts w:hint="eastAsia" w:cs="Times New Roman"/>
                <w:b w:val="0"/>
                <w:bCs/>
                <w:color w:val="auto"/>
                <w:sz w:val="20"/>
                <w:szCs w:val="20"/>
                <w:vertAlign w:val="baseline"/>
                <w:lang w:val="en-US" w:eastAsia="zh-CN"/>
              </w:rPr>
            </w:pPr>
            <w:r>
              <w:rPr>
                <w:rFonts w:hint="eastAsia" w:ascii="Times New Roman" w:hAnsi="Times New Roman" w:eastAsia="MS Mincho" w:cs="Times New Roman"/>
                <w:b/>
                <w:bCs w:val="0"/>
                <w:color w:val="auto"/>
                <w:kern w:val="0"/>
                <w:sz w:val="20"/>
                <w:szCs w:val="20"/>
                <w:vertAlign w:val="baseline"/>
                <w:lang w:val="en-US" w:eastAsia="zh-CN" w:bidi="ar-SA"/>
              </w:rPr>
              <w:t xml:space="preserve">Table 7.3A.6-1a: </w:t>
            </w:r>
            <w:r>
              <w:rPr>
                <w:rFonts w:hint="eastAsia" w:ascii="Times New Roman" w:hAnsi="Times New Roman" w:eastAsia="MS Mincho" w:cs="Times New Roman"/>
                <w:b w:val="0"/>
                <w:bCs/>
                <w:color w:val="auto"/>
                <w:kern w:val="0"/>
                <w:sz w:val="20"/>
                <w:szCs w:val="20"/>
                <w:vertAlign w:val="baseline"/>
                <w:lang w:val="en-US" w:eastAsia="zh-CN" w:bidi="ar-SA"/>
              </w:rPr>
              <w:t xml:space="preserve">Reference sensitivity exceptions (MSD) due to cross band isolation for NR CA FR1 </w:t>
            </w:r>
            <w:r>
              <w:rPr>
                <w:rFonts w:hint="eastAsia" w:ascii="Times New Roman" w:hAnsi="Times New Roman" w:eastAsia="MS Mincho" w:cs="Times New Roman"/>
                <w:b w:val="0"/>
                <w:bCs/>
                <w:color w:val="auto"/>
                <w:kern w:val="0"/>
                <w:sz w:val="20"/>
                <w:szCs w:val="20"/>
                <w:highlight w:val="yellow"/>
                <w:vertAlign w:val="baseline"/>
                <w:lang w:val="en-US" w:eastAsia="zh-CN" w:bidi="ar-SA"/>
              </w:rPr>
              <w:t>for PC2 CA</w:t>
            </w:r>
            <w:r>
              <w:rPr>
                <w:rFonts w:hint="eastAsia" w:ascii="Times New Roman" w:hAnsi="Times New Roman" w:eastAsia="MS Mincho" w:cs="Times New Roman"/>
                <w:b w:val="0"/>
                <w:bCs/>
                <w:color w:val="auto"/>
                <w:kern w:val="0"/>
                <w:sz w:val="20"/>
                <w:szCs w:val="20"/>
                <w:vertAlign w:val="baseline"/>
                <w:lang w:val="en-US" w:eastAsia="zh-CN" w:bidi="ar-SA"/>
              </w:rPr>
              <w:t xml:space="preserve"> </w:t>
            </w:r>
          </w:p>
        </w:tc>
        <w:tc>
          <w:tcPr>
            <w:tcW w:w="5306" w:type="dxa"/>
          </w:tcPr>
          <w:p>
            <w:pPr>
              <w:keepNext/>
              <w:keepLines/>
              <w:pageBreakBefore w:val="0"/>
              <w:widowControl w:val="0"/>
              <w:numPr>
                <w:ilvl w:val="-1"/>
                <w:numId w:val="0"/>
              </w:numPr>
              <w:kinsoku/>
              <w:wordWrap/>
              <w:overflowPunct/>
              <w:topLinePunct w:val="0"/>
              <w:autoSpaceDE/>
              <w:autoSpaceDN/>
              <w:bidi w:val="0"/>
              <w:adjustRightInd/>
              <w:snapToGrid/>
              <w:spacing w:after="0"/>
              <w:textAlignment w:val="auto"/>
              <w:outlineLvl w:val="9"/>
              <w:rPr>
                <w:rFonts w:hint="eastAsia" w:cs="Times New Roman"/>
                <w:b w:val="0"/>
                <w:bCs/>
                <w:color w:val="auto"/>
                <w:sz w:val="20"/>
                <w:szCs w:val="20"/>
                <w:vertAlign w:val="baseline"/>
                <w:lang w:val="en-US" w:eastAsia="zh-CN"/>
              </w:rPr>
            </w:pPr>
            <w:r>
              <w:rPr>
                <w:rFonts w:hint="eastAsia" w:cs="Times New Roman"/>
                <w:b w:val="0"/>
                <w:bCs/>
                <w:color w:val="auto"/>
                <w:sz w:val="20"/>
                <w:szCs w:val="20"/>
                <w:vertAlign w:val="baseline"/>
                <w:lang w:val="en-US" w:eastAsia="zh-CN"/>
              </w:rPr>
              <w:t>The table includes the MSD due to cross band isolation</w:t>
            </w:r>
            <w:r>
              <w:rPr>
                <w:rFonts w:hint="eastAsia" w:eastAsia="宋体" w:cs="Times New Roman"/>
                <w:b w:val="0"/>
                <w:bCs/>
                <w:color w:val="auto"/>
                <w:kern w:val="0"/>
                <w:sz w:val="20"/>
                <w:szCs w:val="20"/>
                <w:vertAlign w:val="baseline"/>
                <w:lang w:val="en-US" w:eastAsia="zh-CN" w:bidi="ar-SA"/>
              </w:rPr>
              <w:t xml:space="preserve">, and the table is </w:t>
            </w:r>
            <w:r>
              <w:rPr>
                <w:rFonts w:hint="eastAsia" w:cs="Times New Roman"/>
                <w:b w:val="0"/>
                <w:bCs/>
                <w:color w:val="auto"/>
                <w:sz w:val="20"/>
                <w:szCs w:val="20"/>
                <w:vertAlign w:val="baseline"/>
                <w:lang w:val="en-US" w:eastAsia="zh-CN"/>
              </w:rPr>
              <w:t>for PC2. However, it is not clear which power allocations of each band are applied.</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For UL configurations table for harmonic, receiver harmonic and cross band isolation, there are no separate tables defined for PC2, which means same UL configurations for the same band combinations configured for PC2 and PC3.</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0"/>
          <w:lang w:val="en-US" w:eastAsia="zh-CN"/>
        </w:rPr>
      </w:pPr>
      <w:r>
        <w:rPr>
          <w:rFonts w:hint="eastAsia" w:eastAsia="宋体"/>
          <w:b/>
          <w:bCs/>
          <w:sz w:val="20"/>
          <w:szCs w:val="20"/>
          <w:lang w:val="en-US" w:eastAsia="zh-CN"/>
        </w:rPr>
        <w:t>Observation 1: It is not clear which power allocations of each band in the existing MSD tables of receiver harmonic, IMD and cross band isolation issues for PC2 NR inter-band CA combination. Also, no distinguish for PC3 or PC2 NR inter-band CA combination for harmonic MSD requirements.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b/>
          <w:bCs/>
          <w:sz w:val="20"/>
          <w:szCs w:val="20"/>
          <w:lang w:val="en-US" w:eastAsia="zh-CN"/>
        </w:rPr>
        <w:t xml:space="preserve">Observation 2: Same UL configurations tables are applied for the same band combinations configured for PC2 and PC3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2.2  Study in TR38.841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current TR38.841, the MSD study for a certain PC2 NR inter-band CA combinations are studied for all of the cases. Also, for some cases (power allocations), the same PC3 MSD are reused for PC2 but for some other cases, new MSD are defined for PC2.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u w:val="single"/>
          <w:vertAlign w:val="baseline"/>
          <w:lang w:val="en-US" w:eastAsia="zh-CN" w:bidi="ar-SA"/>
        </w:rPr>
      </w:pPr>
      <w:r>
        <w:rPr>
          <w:rFonts w:hint="eastAsia" w:eastAsia="宋体" w:cs="Times New Roman"/>
          <w:b/>
          <w:bCs/>
          <w:color w:val="auto"/>
          <w:sz w:val="20"/>
          <w:szCs w:val="20"/>
          <w:highlight w:val="none"/>
          <w:u w:val="single"/>
          <w:vertAlign w:val="baseline"/>
          <w:lang w:val="en-US" w:eastAsia="zh-CN" w:bidi="ar-SA"/>
        </w:rPr>
        <w:t>Harmonic MSD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The harmonic MSD requirements mainly for FDD+TDD band combination, where the nth harmonic products of low FDD band falls into the high TDD band. It is relate to the power configured for aggressor UL band (i.e. FDD band), due to the power for FDD band always equal to 23dBm so far, therefore, the same </w:t>
      </w:r>
      <w:r>
        <w:rPr>
          <w:rFonts w:hint="eastAsia" w:eastAsia="宋体" w:cs="Times New Roman"/>
          <w:b w:val="0"/>
          <w:bCs w:val="0"/>
          <w:color w:val="auto"/>
          <w:sz w:val="20"/>
          <w:szCs w:val="20"/>
          <w:highlight w:val="none"/>
          <w:lang w:val="en-US" w:eastAsia="zh-CN" w:bidi="ar-SA"/>
        </w:rPr>
        <w:t>PC3 harmonic MSD requirements are applied for PC2.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b/>
          <w:bCs/>
          <w:sz w:val="20"/>
          <w:szCs w:val="20"/>
          <w:lang w:val="en-US" w:eastAsia="zh-CN"/>
        </w:rPr>
      </w:pPr>
      <w:r>
        <w:rPr>
          <w:rFonts w:hint="eastAsia" w:eastAsia="宋体"/>
          <w:b/>
          <w:bCs/>
          <w:sz w:val="20"/>
          <w:szCs w:val="20"/>
          <w:lang w:val="en-US" w:eastAsia="zh-CN"/>
        </w:rPr>
        <w:t>Observation 3: For PC2 FDD+TDD NR inter-band CA combination, same PC3 harmonic MSD requirements are applied for the power allocations of 23dBm+23dBm and 23dBm+26dBm.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u w:val="single"/>
          <w:vertAlign w:val="baseline"/>
          <w:lang w:val="en-US" w:eastAsia="zh-CN" w:bidi="ar-SA"/>
        </w:rPr>
      </w:pPr>
      <w:r>
        <w:rPr>
          <w:rFonts w:hint="eastAsia" w:eastAsia="宋体" w:cs="Times New Roman"/>
          <w:b/>
          <w:bCs/>
          <w:color w:val="auto"/>
          <w:sz w:val="20"/>
          <w:szCs w:val="20"/>
          <w:highlight w:val="none"/>
          <w:u w:val="single"/>
          <w:vertAlign w:val="baseline"/>
          <w:lang w:val="en-US" w:eastAsia="zh-CN" w:bidi="ar-SA"/>
        </w:rPr>
        <w:t>H</w:t>
      </w:r>
      <w:r>
        <w:rPr>
          <w:rFonts w:hint="eastAsia" w:eastAsia="宋体" w:cs="Times New Roman"/>
          <w:b/>
          <w:bCs/>
          <w:color w:val="auto"/>
          <w:sz w:val="20"/>
          <w:szCs w:val="20"/>
          <w:highlight w:val="none"/>
          <w:u w:val="single"/>
          <w:vertAlign w:val="baseline"/>
          <w:lang w:val="en-US" w:eastAsia="ja-JP" w:bidi="ar-SA"/>
        </w:rPr>
        <w:t xml:space="preserve">armonic mixing </w:t>
      </w:r>
      <w:r>
        <w:rPr>
          <w:rFonts w:hint="eastAsia" w:eastAsia="宋体" w:cs="Times New Roman"/>
          <w:b/>
          <w:bCs/>
          <w:color w:val="auto"/>
          <w:sz w:val="20"/>
          <w:szCs w:val="20"/>
          <w:highlight w:val="none"/>
          <w:u w:val="single"/>
          <w:vertAlign w:val="baseline"/>
          <w:lang w:val="en-US" w:eastAsia="zh-CN" w:bidi="ar-SA"/>
        </w:rPr>
        <w:t>MSD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The harmonic mixing MSD requirements includes both FDD+TDD and TDD+TDD band combination, also it is relate to the power configured for aggressor UL band. For harmonic mixing MSD requirements, the aggressor UL can be either FDD band or TDD band. So it should discuss case by case as follow: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1. PC2 FDD-TDD NR inter-band CA</w:t>
      </w:r>
    </w:p>
    <w:p>
      <w:pPr>
        <w:keepNext/>
        <w:keepLines/>
        <w:pageBreakBefore w:val="0"/>
        <w:widowControl w:val="0"/>
        <w:numPr>
          <w:ilvl w:val="0"/>
          <w:numId w:val="13"/>
        </w:numPr>
        <w:kinsoku/>
        <w:wordWrap/>
        <w:overflowPunct/>
        <w:topLinePunct w:val="0"/>
        <w:autoSpaceDE/>
        <w:autoSpaceDN/>
        <w:bidi w:val="0"/>
        <w:adjustRightInd/>
        <w:snapToGrid/>
        <w:spacing w:after="120"/>
        <w:ind w:left="84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Case a (23dBm+23dBm): Same </w:t>
      </w:r>
      <w:r>
        <w:rPr>
          <w:rFonts w:hint="eastAsia" w:eastAsia="宋体" w:cs="Times New Roman"/>
          <w:b w:val="0"/>
          <w:bCs w:val="0"/>
          <w:color w:val="auto"/>
          <w:sz w:val="20"/>
          <w:szCs w:val="20"/>
          <w:highlight w:val="none"/>
          <w:lang w:val="en-US" w:eastAsia="zh-CN" w:bidi="ar-SA"/>
        </w:rPr>
        <w:t>PC3 harmonic mixing MSD requirements are applied for PC2.</w:t>
      </w:r>
    </w:p>
    <w:p>
      <w:pPr>
        <w:keepNext/>
        <w:keepLines/>
        <w:pageBreakBefore w:val="0"/>
        <w:widowControl w:val="0"/>
        <w:numPr>
          <w:ilvl w:val="0"/>
          <w:numId w:val="13"/>
        </w:numPr>
        <w:kinsoku/>
        <w:wordWrap/>
        <w:overflowPunct/>
        <w:topLinePunct w:val="0"/>
        <w:autoSpaceDE/>
        <w:autoSpaceDN/>
        <w:bidi w:val="0"/>
        <w:adjustRightInd/>
        <w:snapToGrid/>
        <w:spacing w:after="120"/>
        <w:ind w:left="84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Case b (23dBm+26dBm): </w:t>
      </w:r>
      <w:r>
        <w:rPr>
          <w:rFonts w:hint="eastAsia" w:eastAsia="宋体" w:cs="Times New Roman"/>
          <w:b w:val="0"/>
          <w:bCs w:val="0"/>
          <w:color w:val="auto"/>
          <w:sz w:val="20"/>
          <w:szCs w:val="20"/>
          <w:highlight w:val="none"/>
          <w:lang w:val="en-US" w:eastAsia="zh-CN" w:bidi="ar-SA"/>
        </w:rPr>
        <w:t xml:space="preserve">New MSD should be defined for PC2 when </w:t>
      </w:r>
      <w:r>
        <w:rPr>
          <w:rFonts w:hint="eastAsia" w:eastAsia="宋体" w:cs="Times New Roman"/>
          <w:b w:val="0"/>
          <w:bCs w:val="0"/>
          <w:color w:val="auto"/>
          <w:sz w:val="20"/>
          <w:szCs w:val="20"/>
          <w:highlight w:val="none"/>
          <w:vertAlign w:val="baseline"/>
          <w:lang w:val="en-US" w:eastAsia="zh-CN" w:bidi="ar-SA"/>
        </w:rPr>
        <w:t xml:space="preserve">aggressor </w:t>
      </w:r>
      <w:r>
        <w:rPr>
          <w:rFonts w:hint="eastAsia" w:eastAsia="宋体" w:cs="Times New Roman"/>
          <w:b w:val="0"/>
          <w:bCs w:val="0"/>
          <w:color w:val="auto"/>
          <w:sz w:val="20"/>
          <w:szCs w:val="20"/>
          <w:highlight w:val="none"/>
          <w:lang w:val="en-US" w:eastAsia="zh-CN" w:bidi="ar-SA"/>
        </w:rPr>
        <w:t>UL band is PC2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2. PC2 TDD-TDD NR inter-band CA</w:t>
      </w:r>
    </w:p>
    <w:p>
      <w:pPr>
        <w:keepNext/>
        <w:keepLines/>
        <w:pageBreakBefore w:val="0"/>
        <w:widowControl w:val="0"/>
        <w:numPr>
          <w:ilvl w:val="0"/>
          <w:numId w:val="13"/>
        </w:numPr>
        <w:kinsoku/>
        <w:wordWrap/>
        <w:overflowPunct/>
        <w:topLinePunct w:val="0"/>
        <w:autoSpaceDE/>
        <w:autoSpaceDN/>
        <w:bidi w:val="0"/>
        <w:adjustRightInd/>
        <w:snapToGrid/>
        <w:spacing w:after="120"/>
        <w:ind w:left="84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Case a (23dBm+23dBm): Same </w:t>
      </w:r>
      <w:r>
        <w:rPr>
          <w:rFonts w:hint="eastAsia" w:eastAsia="宋体" w:cs="Times New Roman"/>
          <w:b w:val="0"/>
          <w:bCs w:val="0"/>
          <w:color w:val="auto"/>
          <w:sz w:val="20"/>
          <w:szCs w:val="20"/>
          <w:highlight w:val="none"/>
          <w:lang w:val="en-US" w:eastAsia="zh-CN" w:bidi="ar-SA"/>
        </w:rPr>
        <w:t>PC3 harmonic mixing MSD requirements are applied for PC2.</w:t>
      </w:r>
    </w:p>
    <w:p>
      <w:pPr>
        <w:keepNext/>
        <w:keepLines/>
        <w:pageBreakBefore w:val="0"/>
        <w:widowControl w:val="0"/>
        <w:numPr>
          <w:ilvl w:val="0"/>
          <w:numId w:val="13"/>
        </w:numPr>
        <w:kinsoku/>
        <w:wordWrap/>
        <w:overflowPunct/>
        <w:topLinePunct w:val="0"/>
        <w:autoSpaceDE/>
        <w:autoSpaceDN/>
        <w:bidi w:val="0"/>
        <w:adjustRightInd/>
        <w:snapToGrid/>
        <w:spacing w:after="120"/>
        <w:ind w:left="84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Case b (23dBm+26dBm): </w:t>
      </w:r>
      <w:r>
        <w:rPr>
          <w:rFonts w:hint="eastAsia" w:eastAsia="宋体" w:cs="Times New Roman"/>
          <w:b w:val="0"/>
          <w:bCs w:val="0"/>
          <w:color w:val="auto"/>
          <w:sz w:val="20"/>
          <w:szCs w:val="20"/>
          <w:highlight w:val="none"/>
          <w:lang w:val="en-US" w:eastAsia="zh-CN" w:bidi="ar-SA"/>
        </w:rPr>
        <w:t xml:space="preserve">New MSD should be defined for PC2 when </w:t>
      </w:r>
      <w:r>
        <w:rPr>
          <w:rFonts w:hint="eastAsia" w:eastAsia="宋体" w:cs="Times New Roman"/>
          <w:b w:val="0"/>
          <w:bCs w:val="0"/>
          <w:color w:val="auto"/>
          <w:sz w:val="20"/>
          <w:szCs w:val="20"/>
          <w:highlight w:val="none"/>
          <w:vertAlign w:val="baseline"/>
          <w:lang w:val="en-US" w:eastAsia="zh-CN" w:bidi="ar-SA"/>
        </w:rPr>
        <w:t xml:space="preserve">aggressor </w:t>
      </w:r>
      <w:r>
        <w:rPr>
          <w:rFonts w:hint="eastAsia" w:eastAsia="宋体" w:cs="Times New Roman"/>
          <w:b w:val="0"/>
          <w:bCs w:val="0"/>
          <w:color w:val="auto"/>
          <w:sz w:val="20"/>
          <w:szCs w:val="20"/>
          <w:highlight w:val="none"/>
          <w:lang w:val="en-US" w:eastAsia="zh-CN" w:bidi="ar-SA"/>
        </w:rPr>
        <w:t>UL band is PC2 band.</w:t>
      </w:r>
    </w:p>
    <w:p>
      <w:pPr>
        <w:keepNext/>
        <w:keepLines/>
        <w:pageBreakBefore w:val="0"/>
        <w:widowControl w:val="0"/>
        <w:numPr>
          <w:ilvl w:val="0"/>
          <w:numId w:val="13"/>
        </w:numPr>
        <w:kinsoku/>
        <w:wordWrap/>
        <w:overflowPunct/>
        <w:topLinePunct w:val="0"/>
        <w:autoSpaceDE/>
        <w:autoSpaceDN/>
        <w:bidi w:val="0"/>
        <w:adjustRightInd/>
        <w:snapToGrid/>
        <w:spacing w:after="120"/>
        <w:ind w:left="84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Case c (26dBm+23dBm): </w:t>
      </w:r>
      <w:r>
        <w:rPr>
          <w:rFonts w:hint="eastAsia" w:eastAsia="宋体" w:cs="Times New Roman"/>
          <w:b w:val="0"/>
          <w:bCs w:val="0"/>
          <w:color w:val="auto"/>
          <w:sz w:val="20"/>
          <w:szCs w:val="20"/>
          <w:highlight w:val="none"/>
          <w:lang w:val="en-US" w:eastAsia="zh-CN" w:bidi="ar-SA"/>
        </w:rPr>
        <w:t xml:space="preserve">New MSD should be defined for PC2 when </w:t>
      </w:r>
      <w:r>
        <w:rPr>
          <w:rFonts w:hint="eastAsia" w:eastAsia="宋体" w:cs="Times New Roman"/>
          <w:b w:val="0"/>
          <w:bCs w:val="0"/>
          <w:color w:val="auto"/>
          <w:sz w:val="20"/>
          <w:szCs w:val="20"/>
          <w:highlight w:val="none"/>
          <w:vertAlign w:val="baseline"/>
          <w:lang w:val="en-US" w:eastAsia="zh-CN" w:bidi="ar-SA"/>
        </w:rPr>
        <w:t xml:space="preserve">aggressor </w:t>
      </w:r>
      <w:r>
        <w:rPr>
          <w:rFonts w:hint="eastAsia" w:eastAsia="宋体" w:cs="Times New Roman"/>
          <w:b w:val="0"/>
          <w:bCs w:val="0"/>
          <w:color w:val="auto"/>
          <w:sz w:val="20"/>
          <w:szCs w:val="20"/>
          <w:highlight w:val="none"/>
          <w:lang w:val="en-US" w:eastAsia="zh-CN" w:bidi="ar-SA"/>
        </w:rPr>
        <w:t>UL band is PC2 band.</w:t>
      </w:r>
    </w:p>
    <w:p>
      <w:pPr>
        <w:keepNext/>
        <w:keepLines/>
        <w:pageBreakBefore w:val="0"/>
        <w:widowControl w:val="0"/>
        <w:numPr>
          <w:ilvl w:val="0"/>
          <w:numId w:val="13"/>
        </w:numPr>
        <w:kinsoku/>
        <w:wordWrap/>
        <w:overflowPunct/>
        <w:topLinePunct w:val="0"/>
        <w:autoSpaceDE/>
        <w:autoSpaceDN/>
        <w:bidi w:val="0"/>
        <w:adjustRightInd/>
        <w:snapToGrid/>
        <w:spacing w:after="120"/>
        <w:ind w:left="84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Case d (26dBm+26dBm): </w:t>
      </w:r>
      <w:r>
        <w:rPr>
          <w:rFonts w:hint="eastAsia" w:eastAsia="宋体" w:cs="Times New Roman"/>
          <w:b w:val="0"/>
          <w:bCs w:val="0"/>
          <w:color w:val="auto"/>
          <w:sz w:val="20"/>
          <w:szCs w:val="20"/>
          <w:highlight w:val="none"/>
          <w:lang w:val="en-US" w:eastAsia="zh-CN" w:bidi="ar-SA"/>
        </w:rPr>
        <w:t>New MSD should be defined for PC2 and it is combination of Case b and Case c.</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b/>
          <w:bCs/>
          <w:sz w:val="20"/>
          <w:szCs w:val="20"/>
          <w:lang w:val="en-US" w:eastAsia="zh-CN"/>
        </w:rPr>
        <w:t xml:space="preserve">Observation 4: For PC2 NR inter-band CA combination, in case of </w:t>
      </w:r>
      <w:r>
        <w:rPr>
          <w:rFonts w:hint="eastAsia" w:eastAsia="宋体"/>
          <w:b/>
          <w:bCs/>
          <w:sz w:val="20"/>
          <w:lang w:val="en-US" w:eastAsia="zh-CN"/>
        </w:rPr>
        <w:t xml:space="preserve">PC3 within both two NR bands (i.e. </w:t>
      </w:r>
      <w:r>
        <w:rPr>
          <w:rFonts w:hint="eastAsia" w:eastAsia="宋体"/>
          <w:b/>
          <w:bCs/>
          <w:sz w:val="20"/>
          <w:szCs w:val="20"/>
          <w:lang w:val="en-US" w:eastAsia="zh-CN"/>
        </w:rPr>
        <w:t xml:space="preserve">aggressor UL band is PC3 band), same PC3 harmonic mixing MSD requirements are applied, and in case of </w:t>
      </w:r>
      <w:r>
        <w:rPr>
          <w:rFonts w:hint="eastAsia" w:eastAsia="宋体"/>
          <w:b/>
          <w:bCs/>
          <w:sz w:val="20"/>
          <w:lang w:val="en-US" w:eastAsia="zh-CN"/>
        </w:rPr>
        <w:t xml:space="preserve">PC2 within at least one of the NR TDD band (i.e. at least one of the </w:t>
      </w:r>
      <w:r>
        <w:rPr>
          <w:rFonts w:hint="eastAsia" w:eastAsia="宋体"/>
          <w:b/>
          <w:bCs/>
          <w:sz w:val="20"/>
          <w:szCs w:val="20"/>
          <w:lang w:val="en-US" w:eastAsia="zh-CN"/>
        </w:rPr>
        <w:t>aggressor UL band is PC2 band), the new harmonic mixing MSD requirement should be defined.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val="0"/>
          <w:color w:val="auto"/>
          <w:sz w:val="20"/>
          <w:szCs w:val="20"/>
          <w:highlight w:val="none"/>
          <w:u w:val="single"/>
          <w:vertAlign w:val="baseline"/>
          <w:lang w:val="en-US" w:eastAsia="zh-CN" w:bidi="ar-SA"/>
        </w:rPr>
      </w:pPr>
      <w:r>
        <w:rPr>
          <w:rFonts w:hint="eastAsia" w:cs="Times New Roman"/>
          <w:b/>
          <w:bCs w:val="0"/>
          <w:color w:val="auto"/>
          <w:sz w:val="20"/>
          <w:szCs w:val="20"/>
          <w:u w:val="single"/>
          <w:vertAlign w:val="baseline"/>
          <w:lang w:val="en-US" w:eastAsia="zh-CN"/>
        </w:rPr>
        <w:t>Intermodulation MSD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The intermodulation MSD requirements are only for FDD-TDD band combination, where the nth intermodulation products of 2UL may fall into FDD band Rx frequency range. It is relate to the power configured of both FDD and TDD bands.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According to TR</w:t>
      </w:r>
      <w:r>
        <w:rPr>
          <w:rFonts w:hint="eastAsia" w:eastAsia="宋体" w:cs="Times New Roman"/>
          <w:b w:val="0"/>
          <w:bCs w:val="0"/>
          <w:color w:val="auto"/>
          <w:sz w:val="20"/>
          <w:szCs w:val="20"/>
          <w:highlight w:val="none"/>
          <w:lang w:val="en-US" w:eastAsia="zh-CN" w:bidi="ar-SA"/>
        </w:rPr>
        <w:t>38.841, it can be found for</w:t>
      </w:r>
      <w:r>
        <w:rPr>
          <w:rFonts w:hint="eastAsia" w:eastAsia="宋体" w:cs="Times New Roman"/>
          <w:b w:val="0"/>
          <w:bCs w:val="0"/>
          <w:color w:val="auto"/>
          <w:sz w:val="20"/>
          <w:szCs w:val="20"/>
          <w:highlight w:val="none"/>
          <w:vertAlign w:val="baseline"/>
          <w:lang w:val="en-US" w:eastAsia="zh-CN" w:bidi="ar-SA"/>
        </w:rPr>
        <w:t xml:space="preserve"> PC2 FDD-TDD NR inter-band CA, new MSD should be defined for Case a (23dBm+23dBm) and Case b (23dBm+26dBm), and same requirements are applied for these two cases due to the maximum output power is limited to 26dBm.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b/>
          <w:bCs/>
          <w:sz w:val="20"/>
          <w:szCs w:val="20"/>
          <w:lang w:val="en-US" w:eastAsia="zh-CN"/>
        </w:rPr>
      </w:pPr>
      <w:r>
        <w:rPr>
          <w:rFonts w:hint="eastAsia" w:eastAsia="宋体"/>
          <w:b/>
          <w:bCs/>
          <w:sz w:val="20"/>
          <w:szCs w:val="20"/>
          <w:lang w:val="en-US" w:eastAsia="zh-CN"/>
        </w:rPr>
        <w:t>Observation 5: For PC2 FDD+TDD NR inter-band CA combination,  new 2UL intermodulation MSD should be defined for Case a (23dBm+23dBm) and Case b (23dBm+26dBm), and same requirements are applied for these two cases.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val="0"/>
          <w:color w:val="auto"/>
          <w:sz w:val="20"/>
          <w:szCs w:val="20"/>
          <w:highlight w:val="none"/>
          <w:u w:val="single"/>
          <w:vertAlign w:val="baseline"/>
          <w:lang w:val="en-US" w:eastAsia="zh-CN" w:bidi="ar-SA"/>
        </w:rPr>
      </w:pPr>
      <w:r>
        <w:rPr>
          <w:rFonts w:hint="eastAsia" w:cs="Times New Roman"/>
          <w:b/>
          <w:bCs w:val="0"/>
          <w:color w:val="auto"/>
          <w:sz w:val="20"/>
          <w:szCs w:val="20"/>
          <w:u w:val="single"/>
          <w:vertAlign w:val="baseline"/>
          <w:lang w:val="en-US" w:eastAsia="zh-CN"/>
        </w:rPr>
        <w:t>Cross-band isolation MSD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vertAlign w:val="baseline"/>
          <w:lang w:val="en-US" w:eastAsia="zh-CN" w:bidi="ar-SA"/>
        </w:rPr>
      </w:pPr>
      <w:r>
        <w:rPr>
          <w:rFonts w:hint="eastAsia" w:eastAsia="宋体" w:cs="Times New Roman"/>
          <w:b w:val="0"/>
          <w:bCs w:val="0"/>
          <w:color w:val="auto"/>
          <w:sz w:val="20"/>
          <w:szCs w:val="20"/>
          <w:highlight w:val="none"/>
          <w:vertAlign w:val="baseline"/>
          <w:lang w:val="en-US" w:eastAsia="zh-CN" w:bidi="ar-SA"/>
        </w:rPr>
        <w:t xml:space="preserve">The situation of cross-band isolation is quite similar with harmonic mixing, where it is applied for both FDD+TDD and TDD+TDD band combination and also it is relate to the power configured for aggressor UL band.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b/>
          <w:bCs/>
          <w:sz w:val="20"/>
          <w:szCs w:val="20"/>
          <w:lang w:val="en-US" w:eastAsia="zh-CN"/>
        </w:rPr>
      </w:pPr>
      <w:r>
        <w:rPr>
          <w:rFonts w:hint="eastAsia" w:eastAsia="宋体"/>
          <w:b/>
          <w:bCs/>
          <w:sz w:val="20"/>
          <w:szCs w:val="20"/>
          <w:lang w:val="en-US" w:eastAsia="zh-CN"/>
        </w:rPr>
        <w:t xml:space="preserve">Observation 6: For PC2 NR inter-band CA combination, in case of </w:t>
      </w:r>
      <w:r>
        <w:rPr>
          <w:rFonts w:hint="eastAsia" w:eastAsia="宋体"/>
          <w:b/>
          <w:bCs/>
          <w:sz w:val="20"/>
          <w:lang w:val="en-US" w:eastAsia="zh-CN"/>
        </w:rPr>
        <w:t xml:space="preserve">PC3 within both two NR bands (i.e. </w:t>
      </w:r>
      <w:r>
        <w:rPr>
          <w:rFonts w:hint="eastAsia" w:eastAsia="宋体"/>
          <w:b/>
          <w:bCs/>
          <w:sz w:val="20"/>
          <w:szCs w:val="20"/>
          <w:lang w:val="en-US" w:eastAsia="zh-CN"/>
        </w:rPr>
        <w:t xml:space="preserve">aggressor UL band is PC3 band), same PC3 cross-band isolation MSD requirements are applied, and in case of </w:t>
      </w:r>
      <w:r>
        <w:rPr>
          <w:rFonts w:hint="eastAsia" w:eastAsia="宋体"/>
          <w:b/>
          <w:bCs/>
          <w:sz w:val="20"/>
          <w:lang w:val="en-US" w:eastAsia="zh-CN"/>
        </w:rPr>
        <w:t xml:space="preserve">PC2 within at least one of the NR TDD band (i.e. at least one of the </w:t>
      </w:r>
      <w:r>
        <w:rPr>
          <w:rFonts w:hint="eastAsia" w:eastAsia="宋体"/>
          <w:b/>
          <w:bCs/>
          <w:sz w:val="20"/>
          <w:szCs w:val="20"/>
          <w:lang w:val="en-US" w:eastAsia="zh-CN"/>
        </w:rPr>
        <w:t>aggressor UL band is PC2 band), the new cross-band isolation MSD requirement should be defined.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2.3  Corrections on TS38.101-1</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According to the above discussion, except the intermodulation MSD, either the same PC3 MSD requirements or new MSD requirements are applied for PC2 NR inter-band CA, depending on the power allocation for each band, which means the current tables 7.3A.4-1, 7.3A.4-4  and Table 7.3A.6-1 can also apply for PC2 NR inter-band CA for some cases. In addition, tables </w:t>
      </w:r>
      <w:r>
        <w:rPr>
          <w:rFonts w:hint="eastAsia" w:eastAsia="宋体" w:cs="Times New Roman"/>
          <w:b w:val="0"/>
          <w:bCs w:val="0"/>
          <w:color w:val="auto"/>
          <w:sz w:val="20"/>
          <w:szCs w:val="20"/>
          <w:highlight w:val="none"/>
          <w:lang w:val="en-US" w:eastAsia="ja-JP" w:bidi="ar-SA"/>
        </w:rPr>
        <w:t>7.3A.</w:t>
      </w:r>
      <w:r>
        <w:rPr>
          <w:rFonts w:hint="eastAsia" w:eastAsia="宋体" w:cs="Times New Roman"/>
          <w:b w:val="0"/>
          <w:bCs w:val="0"/>
          <w:color w:val="auto"/>
          <w:sz w:val="20"/>
          <w:szCs w:val="20"/>
          <w:highlight w:val="none"/>
          <w:lang w:val="en-US" w:eastAsia="zh-CN" w:bidi="ar-SA"/>
        </w:rPr>
        <w:t>4</w:t>
      </w:r>
      <w:r>
        <w:rPr>
          <w:rFonts w:hint="eastAsia" w:eastAsia="宋体" w:cs="Times New Roman"/>
          <w:b w:val="0"/>
          <w:bCs w:val="0"/>
          <w:color w:val="auto"/>
          <w:sz w:val="20"/>
          <w:szCs w:val="20"/>
          <w:highlight w:val="none"/>
          <w:lang w:val="en-US" w:eastAsia="ja-JP" w:bidi="ar-SA"/>
        </w:rPr>
        <w:t>-4</w:t>
      </w:r>
      <w:r>
        <w:rPr>
          <w:rFonts w:hint="eastAsia" w:eastAsia="宋体" w:cs="Times New Roman"/>
          <w:b w:val="0"/>
          <w:bCs w:val="0"/>
          <w:color w:val="auto"/>
          <w:sz w:val="20"/>
          <w:szCs w:val="20"/>
          <w:highlight w:val="none"/>
          <w:lang w:val="en-US" w:eastAsia="zh-CN" w:bidi="ar-SA"/>
        </w:rPr>
        <w:t xml:space="preserve">a and 7.3A.6-1a are only apply for PC2 band combination for some cases. </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For intermodulation MSD, the current Table 7.3A.5-1a can be applied since the PC3 requirements will not be applied for PC2, no matter which power allocations are.</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So we think some corrections are needed to be done for the current MSD table to apply the tables for</w:t>
      </w:r>
      <w:r>
        <w:rPr>
          <w:rFonts w:hint="eastAsia" w:eastAsia="宋体" w:cs="Times New Roman"/>
          <w:b w:val="0"/>
          <w:bCs w:val="0"/>
          <w:color w:val="auto"/>
          <w:sz w:val="20"/>
          <w:szCs w:val="20"/>
          <w:highlight w:val="none"/>
          <w:lang w:val="en-US" w:eastAsia="zh-CN"/>
        </w:rPr>
        <w:t xml:space="preserve"> PC2 NR inter-band CA combination correctly</w:t>
      </w:r>
      <w:r>
        <w:rPr>
          <w:rFonts w:hint="eastAsia" w:eastAsia="宋体" w:cs="Times New Roman"/>
          <w:b w:val="0"/>
          <w:bCs w:val="0"/>
          <w:color w:val="auto"/>
          <w:sz w:val="20"/>
          <w:szCs w:val="20"/>
          <w:highlight w:val="none"/>
          <w:lang w:val="en-US" w:eastAsia="zh-CN" w:bidi="ar-SA"/>
        </w:rPr>
        <w:t>. The proposed corrections can be found in the companion CR[2] in this meeting.</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bidi="ar-SA"/>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eastAsia="宋体" w:cs="Times New Roman"/>
          <w:i w:val="0"/>
          <w:iCs w:val="0"/>
          <w:color w:val="auto"/>
          <w:sz w:val="20"/>
          <w:szCs w:val="20"/>
          <w:highlight w:val="none"/>
          <w:lang w:val="en-US" w:eastAsia="zh-CN" w:bidi="ar-SA"/>
        </w:rPr>
        <w:t xml:space="preserve">we give some simple analysis on the MSD for </w:t>
      </w:r>
      <w:r>
        <w:rPr>
          <w:rFonts w:hint="eastAsia" w:cs="Times New Roman"/>
          <w:b w:val="0"/>
          <w:bCs/>
          <w:color w:val="auto"/>
          <w:sz w:val="20"/>
          <w:szCs w:val="20"/>
          <w:lang w:val="en-US" w:eastAsia="zh-CN"/>
        </w:rPr>
        <w:t>the PC2 NR inter-band CA, we found there exists some problems for the existing MSD tables, where th</w:t>
      </w:r>
      <w:r>
        <w:rPr>
          <w:rFonts w:hint="eastAsia" w:eastAsia="宋体" w:cs="Times New Roman"/>
          <w:i w:val="0"/>
          <w:iCs w:val="0"/>
          <w:color w:val="auto"/>
          <w:sz w:val="20"/>
          <w:szCs w:val="20"/>
          <w:highlight w:val="none"/>
          <w:lang w:val="en-US" w:eastAsia="zh-CN" w:bidi="ar-SA"/>
        </w:rPr>
        <w:t xml:space="preserve">e power allocations are unclear.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0"/>
          <w:lang w:val="en-US" w:eastAsia="zh-CN"/>
        </w:rPr>
      </w:pPr>
      <w:r>
        <w:rPr>
          <w:rFonts w:hint="eastAsia" w:eastAsia="宋体"/>
          <w:b/>
          <w:bCs/>
          <w:sz w:val="20"/>
          <w:szCs w:val="20"/>
          <w:lang w:val="en-US" w:eastAsia="zh-CN"/>
        </w:rPr>
        <w:t>Observation 1: It is not clear which power allocations of each band in the existing MSD tables of receiver harmonic and cross band isolation issues for PC2 NR inter-band CA combination. Also, no distinguish for PC3 or PC2 NR inter-band CA combination for harmonic MSD requirements.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0"/>
          <w:lang w:val="en-US" w:eastAsia="zh-CN"/>
        </w:rPr>
      </w:pPr>
      <w:r>
        <w:rPr>
          <w:rFonts w:hint="eastAsia" w:eastAsia="宋体"/>
          <w:b/>
          <w:bCs/>
          <w:sz w:val="20"/>
          <w:szCs w:val="20"/>
          <w:lang w:val="en-US" w:eastAsia="zh-CN"/>
        </w:rPr>
        <w:t xml:space="preserve">Observation 2: Same UL configurations table is applied for the same band combinations configured for PC2 and PC3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b/>
          <w:bCs/>
          <w:sz w:val="20"/>
          <w:szCs w:val="20"/>
          <w:lang w:val="en-US" w:eastAsia="zh-CN"/>
        </w:rPr>
      </w:pPr>
      <w:r>
        <w:rPr>
          <w:rFonts w:hint="eastAsia" w:eastAsia="宋体"/>
          <w:b/>
          <w:bCs/>
          <w:sz w:val="20"/>
          <w:szCs w:val="20"/>
          <w:lang w:val="en-US" w:eastAsia="zh-CN"/>
        </w:rPr>
        <w:t>Observation 3: For PC2 FDD+TDD NR inter-band CA combination, same PC3 harmonic MSD requirements are applied for the power allocations of 23dBm+23dBm and 23dBm+26dBm</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vertAlign w:val="baseline"/>
          <w:lang w:val="en-US" w:eastAsia="zh-CN" w:bidi="ar-SA"/>
        </w:rPr>
      </w:pPr>
      <w:r>
        <w:rPr>
          <w:rFonts w:hint="eastAsia" w:eastAsia="宋体"/>
          <w:b/>
          <w:bCs/>
          <w:sz w:val="20"/>
          <w:szCs w:val="20"/>
          <w:lang w:val="en-US" w:eastAsia="zh-CN"/>
        </w:rPr>
        <w:t xml:space="preserve">Observation 4: For PC2 NR inter-band CA combination, in case of </w:t>
      </w:r>
      <w:r>
        <w:rPr>
          <w:rFonts w:hint="eastAsia" w:eastAsia="宋体"/>
          <w:b/>
          <w:bCs/>
          <w:sz w:val="20"/>
          <w:lang w:val="en-US" w:eastAsia="zh-CN"/>
        </w:rPr>
        <w:t xml:space="preserve">PC3 within both two NR bands (i.e. </w:t>
      </w:r>
      <w:r>
        <w:rPr>
          <w:rFonts w:hint="eastAsia" w:eastAsia="宋体"/>
          <w:b/>
          <w:bCs/>
          <w:sz w:val="20"/>
          <w:szCs w:val="20"/>
          <w:lang w:val="en-US" w:eastAsia="zh-CN"/>
        </w:rPr>
        <w:t xml:space="preserve">aggressor UL band is PC3 band), same PC3 harmonic mixing MSD requirements are applied, and in case of </w:t>
      </w:r>
      <w:r>
        <w:rPr>
          <w:rFonts w:hint="eastAsia" w:eastAsia="宋体"/>
          <w:b/>
          <w:bCs/>
          <w:sz w:val="20"/>
          <w:lang w:val="en-US" w:eastAsia="zh-CN"/>
        </w:rPr>
        <w:t xml:space="preserve">PC2 within at least one of the NR TDD band (i.e. at least one of the </w:t>
      </w:r>
      <w:r>
        <w:rPr>
          <w:rFonts w:hint="eastAsia" w:eastAsia="宋体"/>
          <w:b/>
          <w:bCs/>
          <w:sz w:val="20"/>
          <w:szCs w:val="20"/>
          <w:lang w:val="en-US" w:eastAsia="zh-CN"/>
        </w:rPr>
        <w:t>aggressor UL band is PC2 band), the new harmonic mixing MSD requirement should be defined.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b/>
          <w:bCs/>
          <w:sz w:val="20"/>
          <w:szCs w:val="20"/>
          <w:lang w:val="en-US" w:eastAsia="zh-CN"/>
        </w:rPr>
      </w:pPr>
      <w:r>
        <w:rPr>
          <w:rFonts w:hint="eastAsia" w:eastAsia="宋体"/>
          <w:b/>
          <w:bCs/>
          <w:sz w:val="20"/>
          <w:szCs w:val="20"/>
          <w:lang w:val="en-US" w:eastAsia="zh-CN"/>
        </w:rPr>
        <w:t>Observation 5: For PC2 FDD+TDD NR inter-band CA combination,  new 2UL intermodulation MSD should be defined for Case a (23dBm+23dBm) and Case b (23dBm+26dBm), and same requirements are applied for these two cases.</w:t>
      </w:r>
    </w:p>
    <w:p>
      <w:pPr>
        <w:keepNext/>
        <w:keepLines/>
        <w:pageBreakBefore w:val="0"/>
        <w:widowControl w:val="0"/>
        <w:numPr>
          <w:ilvl w:val="0"/>
          <w:numId w:val="0"/>
        </w:numPr>
        <w:kinsoku/>
        <w:wordWrap/>
        <w:overflowPunct/>
        <w:topLinePunct w:val="0"/>
        <w:autoSpaceDE/>
        <w:autoSpaceDN/>
        <w:bidi w:val="0"/>
        <w:adjustRightInd/>
        <w:snapToGrid/>
        <w:spacing w:after="120"/>
        <w:textAlignment w:val="auto"/>
        <w:outlineLvl w:val="9"/>
        <w:rPr>
          <w:rFonts w:hint="default" w:eastAsia="宋体"/>
          <w:b/>
          <w:bCs/>
          <w:sz w:val="20"/>
          <w:szCs w:val="20"/>
          <w:lang w:val="en-US" w:eastAsia="zh-CN"/>
        </w:rPr>
      </w:pPr>
      <w:r>
        <w:rPr>
          <w:rFonts w:hint="eastAsia" w:eastAsia="宋体"/>
          <w:b/>
          <w:bCs/>
          <w:sz w:val="20"/>
          <w:szCs w:val="20"/>
          <w:lang w:val="en-US" w:eastAsia="zh-CN"/>
        </w:rPr>
        <w:t xml:space="preserve">Observation 6: For PC2 NR inter-band CA combination, in case of </w:t>
      </w:r>
      <w:r>
        <w:rPr>
          <w:rFonts w:hint="eastAsia" w:eastAsia="宋体"/>
          <w:b/>
          <w:bCs/>
          <w:sz w:val="20"/>
          <w:lang w:val="en-US" w:eastAsia="zh-CN"/>
        </w:rPr>
        <w:t xml:space="preserve">PC3 within both two NR bands (i.e. </w:t>
      </w:r>
      <w:r>
        <w:rPr>
          <w:rFonts w:hint="eastAsia" w:eastAsia="宋体"/>
          <w:b/>
          <w:bCs/>
          <w:sz w:val="20"/>
          <w:szCs w:val="20"/>
          <w:lang w:val="en-US" w:eastAsia="zh-CN"/>
        </w:rPr>
        <w:t xml:space="preserve">aggressor UL band is PC3 band), same PC3 cross-band isolation MSD requirements are applied, and in case of </w:t>
      </w:r>
      <w:r>
        <w:rPr>
          <w:rFonts w:hint="eastAsia" w:eastAsia="宋体"/>
          <w:b/>
          <w:bCs/>
          <w:sz w:val="20"/>
          <w:lang w:val="en-US" w:eastAsia="zh-CN"/>
        </w:rPr>
        <w:t xml:space="preserve">PC2 within at least one of the NR TDD band (i.e. at least one of the </w:t>
      </w:r>
      <w:r>
        <w:rPr>
          <w:rFonts w:hint="eastAsia" w:eastAsia="宋体"/>
          <w:b/>
          <w:bCs/>
          <w:sz w:val="20"/>
          <w:szCs w:val="20"/>
          <w:lang w:val="en-US" w:eastAsia="zh-CN"/>
        </w:rPr>
        <w:t>aggressor UL band is PC2 band), the new cross-band isolation MSD requirement should be defined.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bidi="ar-SA"/>
        </w:rPr>
      </w:pPr>
      <w:r>
        <w:rPr>
          <w:rFonts w:hint="eastAsia" w:eastAsia="宋体" w:cs="Times New Roman"/>
          <w:b w:val="0"/>
          <w:i w:val="0"/>
          <w:iCs w:val="0"/>
          <w:color w:val="auto"/>
          <w:sz w:val="20"/>
          <w:szCs w:val="20"/>
          <w:highlight w:val="none"/>
          <w:lang w:val="en-US" w:eastAsia="zh-CN" w:bidi="ar-SA"/>
        </w:rPr>
        <w:t>Meanwhile, a companion CR to TS38.101-1 v17.3.0 can be found in [2].</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eastAsia="宋体" w:cs="Times New Roman"/>
          <w:b w:val="0"/>
          <w:bCs w:val="0"/>
          <w:color w:val="auto"/>
          <w:sz w:val="20"/>
          <w:szCs w:val="20"/>
          <w:highlight w:val="none"/>
          <w:lang w:val="en-US" w:eastAsia="zh-CN"/>
        </w:rPr>
      </w:pPr>
      <w:r>
        <w:rPr>
          <w:rFonts w:hint="default" w:eastAsia="宋体" w:cs="Times New Roman"/>
          <w:b w:val="0"/>
          <w:bCs w:val="0"/>
          <w:color w:val="auto"/>
          <w:sz w:val="20"/>
          <w:szCs w:val="20"/>
          <w:highlight w:val="none"/>
          <w:lang w:val="en-US" w:eastAsia="zh-CN"/>
        </w:rPr>
        <w:t xml:space="preserve">[1] </w:t>
      </w:r>
      <w:r>
        <w:rPr>
          <w:rFonts w:hint="eastAsia" w:eastAsia="宋体" w:cs="Times New Roman"/>
          <w:b w:val="0"/>
          <w:bCs w:val="0"/>
          <w:color w:val="auto"/>
          <w:sz w:val="20"/>
          <w:szCs w:val="20"/>
          <w:highlight w:val="none"/>
          <w:lang w:val="en-US" w:eastAsia="zh-CN"/>
        </w:rPr>
        <w:t>TR 38.841 v0.5.0: High power UE for NR inter-band Carrier Aggregation with 2 bands downlink and x bands uplink (x =1,2), China Telecom</w:t>
      </w: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cs="Times New Roman" w:eastAsiaTheme="minorEastAsia"/>
          <w:sz w:val="20"/>
          <w:szCs w:val="20"/>
          <w:lang w:val="en-US" w:eastAsia="zh-CN" w:bidi="ar-SA"/>
        </w:rPr>
      </w:pPr>
      <w:r>
        <w:rPr>
          <w:rFonts w:hint="eastAsia" w:eastAsia="宋体" w:cs="Times New Roman"/>
          <w:b w:val="0"/>
          <w:bCs w:val="0"/>
          <w:color w:val="auto"/>
          <w:sz w:val="20"/>
          <w:szCs w:val="20"/>
          <w:highlight w:val="none"/>
          <w:lang w:val="en-US" w:eastAsia="zh-CN"/>
        </w:rPr>
        <w:t>[2] R4-21xxxx, CR to TS38.101-1: Correction on MSD table to apply PC2 NR inter-band CA combination, ZTE Corporation</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736091"/>
    <w:multiLevelType w:val="singleLevel"/>
    <w:tmpl w:val="24736091"/>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2"/>
  </w:num>
  <w:num w:numId="4">
    <w:abstractNumId w:val="1"/>
  </w:num>
  <w:num w:numId="5">
    <w:abstractNumId w:val="0"/>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97E"/>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86D80"/>
    <w:rsid w:val="017A6282"/>
    <w:rsid w:val="017D283D"/>
    <w:rsid w:val="0182061C"/>
    <w:rsid w:val="01836D6F"/>
    <w:rsid w:val="018457F2"/>
    <w:rsid w:val="018A1316"/>
    <w:rsid w:val="018C141B"/>
    <w:rsid w:val="018D3B10"/>
    <w:rsid w:val="019337A2"/>
    <w:rsid w:val="019621B7"/>
    <w:rsid w:val="01965BE3"/>
    <w:rsid w:val="019B31EC"/>
    <w:rsid w:val="019C6F0B"/>
    <w:rsid w:val="01A0626D"/>
    <w:rsid w:val="01A10B4A"/>
    <w:rsid w:val="01A30C27"/>
    <w:rsid w:val="01A5580E"/>
    <w:rsid w:val="01A92BDD"/>
    <w:rsid w:val="01AB1190"/>
    <w:rsid w:val="01AE603F"/>
    <w:rsid w:val="01B26CA7"/>
    <w:rsid w:val="01B37AB2"/>
    <w:rsid w:val="01B4389E"/>
    <w:rsid w:val="01B50EE4"/>
    <w:rsid w:val="01BB558C"/>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73F0F"/>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A1D55"/>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4E79"/>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8E7FE5"/>
    <w:rsid w:val="04921B49"/>
    <w:rsid w:val="049377A7"/>
    <w:rsid w:val="04970C3A"/>
    <w:rsid w:val="04A5254A"/>
    <w:rsid w:val="04A53EFC"/>
    <w:rsid w:val="04A63DE5"/>
    <w:rsid w:val="04AD5427"/>
    <w:rsid w:val="04B0405A"/>
    <w:rsid w:val="04B14A50"/>
    <w:rsid w:val="04B31C9E"/>
    <w:rsid w:val="04B773EC"/>
    <w:rsid w:val="04BE7AB0"/>
    <w:rsid w:val="04C8107C"/>
    <w:rsid w:val="04CE5DAA"/>
    <w:rsid w:val="04D06A94"/>
    <w:rsid w:val="04D5049F"/>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07F0A"/>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57D25"/>
    <w:rsid w:val="06994F78"/>
    <w:rsid w:val="069A1A61"/>
    <w:rsid w:val="069B6E98"/>
    <w:rsid w:val="069C44CD"/>
    <w:rsid w:val="06A51AD4"/>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040BF"/>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438D2"/>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20B5B"/>
    <w:rsid w:val="0AC4272A"/>
    <w:rsid w:val="0AC51A47"/>
    <w:rsid w:val="0AC93231"/>
    <w:rsid w:val="0AD7243D"/>
    <w:rsid w:val="0AD73ACA"/>
    <w:rsid w:val="0AD829A8"/>
    <w:rsid w:val="0ADC5D23"/>
    <w:rsid w:val="0ADF0FD4"/>
    <w:rsid w:val="0AE23DA6"/>
    <w:rsid w:val="0AEA7232"/>
    <w:rsid w:val="0AF44695"/>
    <w:rsid w:val="0AF7017E"/>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348B3"/>
    <w:rsid w:val="0BA4493F"/>
    <w:rsid w:val="0BA93A36"/>
    <w:rsid w:val="0BA94B42"/>
    <w:rsid w:val="0BAC7903"/>
    <w:rsid w:val="0BB506BE"/>
    <w:rsid w:val="0BB50799"/>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3436B"/>
    <w:rsid w:val="0C0E4E46"/>
    <w:rsid w:val="0C131F97"/>
    <w:rsid w:val="0C1A2934"/>
    <w:rsid w:val="0C20567B"/>
    <w:rsid w:val="0C231168"/>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0511"/>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D61D45"/>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6508E"/>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2330"/>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855F2"/>
    <w:rsid w:val="0F8939F9"/>
    <w:rsid w:val="0F8B1C07"/>
    <w:rsid w:val="0F8F5DB9"/>
    <w:rsid w:val="0F93126B"/>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20D2A"/>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B4F51"/>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DC3E2E"/>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358D8"/>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14486"/>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9007A"/>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A0E5E"/>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AF6BE2"/>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4F61AC"/>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164EA"/>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8477F"/>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5094B"/>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0197E"/>
    <w:rsid w:val="18020089"/>
    <w:rsid w:val="1804006D"/>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216DB"/>
    <w:rsid w:val="186A585C"/>
    <w:rsid w:val="186C0342"/>
    <w:rsid w:val="186C19F1"/>
    <w:rsid w:val="186E121C"/>
    <w:rsid w:val="18734A44"/>
    <w:rsid w:val="187D0B92"/>
    <w:rsid w:val="18830E62"/>
    <w:rsid w:val="18893D17"/>
    <w:rsid w:val="188D7FF5"/>
    <w:rsid w:val="188F36D0"/>
    <w:rsid w:val="18911138"/>
    <w:rsid w:val="1894247F"/>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9A7768"/>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25262"/>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A267D"/>
    <w:rsid w:val="1CBB6DA5"/>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67130"/>
    <w:rsid w:val="1E2D4B90"/>
    <w:rsid w:val="1E2E1619"/>
    <w:rsid w:val="1E2F16AA"/>
    <w:rsid w:val="1E314C83"/>
    <w:rsid w:val="1E352376"/>
    <w:rsid w:val="1E352F3E"/>
    <w:rsid w:val="1E3B10FE"/>
    <w:rsid w:val="1E415F1B"/>
    <w:rsid w:val="1E50139B"/>
    <w:rsid w:val="1E563A89"/>
    <w:rsid w:val="1E5F17F6"/>
    <w:rsid w:val="1E687705"/>
    <w:rsid w:val="1E6E32B3"/>
    <w:rsid w:val="1E724F55"/>
    <w:rsid w:val="1E732462"/>
    <w:rsid w:val="1E755465"/>
    <w:rsid w:val="1E79505C"/>
    <w:rsid w:val="1E8250EA"/>
    <w:rsid w:val="1E916A96"/>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4537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3B0B"/>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202D"/>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D1516"/>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C4B1B"/>
    <w:rsid w:val="234D7BDF"/>
    <w:rsid w:val="234F2103"/>
    <w:rsid w:val="235362C3"/>
    <w:rsid w:val="23584633"/>
    <w:rsid w:val="235B1FE3"/>
    <w:rsid w:val="235E137C"/>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350BC"/>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B5C8F"/>
    <w:rsid w:val="23EE2623"/>
    <w:rsid w:val="23F44C73"/>
    <w:rsid w:val="23F57A8A"/>
    <w:rsid w:val="23FA2BA1"/>
    <w:rsid w:val="23FC5BF0"/>
    <w:rsid w:val="23FD4C20"/>
    <w:rsid w:val="23FE7FE4"/>
    <w:rsid w:val="24001A5A"/>
    <w:rsid w:val="2409266B"/>
    <w:rsid w:val="240A18D8"/>
    <w:rsid w:val="240B3D86"/>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4D1802"/>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202EB"/>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6702A"/>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3C28"/>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31005"/>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E12A6"/>
    <w:rsid w:val="27AF66CB"/>
    <w:rsid w:val="27B40B8B"/>
    <w:rsid w:val="27BB7D18"/>
    <w:rsid w:val="27BF2614"/>
    <w:rsid w:val="27C66B41"/>
    <w:rsid w:val="27DA480B"/>
    <w:rsid w:val="27E320C6"/>
    <w:rsid w:val="27E61965"/>
    <w:rsid w:val="27EC0999"/>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87B60"/>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EF7346"/>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422E"/>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13F6E"/>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11BEA"/>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257B3"/>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C6FBD"/>
    <w:rsid w:val="2CFD6736"/>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70C9F"/>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B6BC9"/>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2E0376"/>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CF1F54"/>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75567"/>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D344C"/>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637C5"/>
    <w:rsid w:val="33E9005B"/>
    <w:rsid w:val="33EF30DA"/>
    <w:rsid w:val="33F20328"/>
    <w:rsid w:val="33F616DA"/>
    <w:rsid w:val="33F72193"/>
    <w:rsid w:val="33FF0BDB"/>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17595"/>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20DC4"/>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55179"/>
    <w:rsid w:val="354968F6"/>
    <w:rsid w:val="354A7FEF"/>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328C7"/>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5F7D3D"/>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1C44E9"/>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73B0C"/>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2657C"/>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4D798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CB6AB9"/>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22B6E"/>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42C21"/>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13B7B"/>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86E18"/>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125E8"/>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95F1F"/>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3104"/>
    <w:rsid w:val="3E0D4838"/>
    <w:rsid w:val="3E0E3CD1"/>
    <w:rsid w:val="3E104B56"/>
    <w:rsid w:val="3E11500B"/>
    <w:rsid w:val="3E121C70"/>
    <w:rsid w:val="3E153ADD"/>
    <w:rsid w:val="3E1C416D"/>
    <w:rsid w:val="3E1F13F2"/>
    <w:rsid w:val="3E2350CF"/>
    <w:rsid w:val="3E275BE0"/>
    <w:rsid w:val="3E276385"/>
    <w:rsid w:val="3E2B0F56"/>
    <w:rsid w:val="3E305DD4"/>
    <w:rsid w:val="3E315C9A"/>
    <w:rsid w:val="3E3232D4"/>
    <w:rsid w:val="3E376525"/>
    <w:rsid w:val="3E3C0B32"/>
    <w:rsid w:val="3E414A54"/>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595780"/>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A19E3"/>
    <w:rsid w:val="412D588A"/>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253F9"/>
    <w:rsid w:val="41C46E77"/>
    <w:rsid w:val="41D8108E"/>
    <w:rsid w:val="41D87523"/>
    <w:rsid w:val="41D91076"/>
    <w:rsid w:val="41DF2F70"/>
    <w:rsid w:val="41E224AE"/>
    <w:rsid w:val="41E756B0"/>
    <w:rsid w:val="41E971DB"/>
    <w:rsid w:val="41ED0313"/>
    <w:rsid w:val="41ED143C"/>
    <w:rsid w:val="41ED1734"/>
    <w:rsid w:val="41F33AE2"/>
    <w:rsid w:val="41F4693E"/>
    <w:rsid w:val="41F553C7"/>
    <w:rsid w:val="41FD3BFE"/>
    <w:rsid w:val="41FE5D66"/>
    <w:rsid w:val="42080B34"/>
    <w:rsid w:val="420C060E"/>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1E079D"/>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0D3344"/>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4EC"/>
    <w:rsid w:val="45756A52"/>
    <w:rsid w:val="45760B6E"/>
    <w:rsid w:val="457C1C68"/>
    <w:rsid w:val="457E6C02"/>
    <w:rsid w:val="458253D4"/>
    <w:rsid w:val="45835123"/>
    <w:rsid w:val="45851445"/>
    <w:rsid w:val="4587083D"/>
    <w:rsid w:val="458A12A4"/>
    <w:rsid w:val="45953886"/>
    <w:rsid w:val="459A5728"/>
    <w:rsid w:val="45A04A75"/>
    <w:rsid w:val="45A54B2C"/>
    <w:rsid w:val="45A76604"/>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23313"/>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EE3BB0"/>
    <w:rsid w:val="46F31D9A"/>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0C154E"/>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5D3DC6"/>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33D27"/>
    <w:rsid w:val="49A47274"/>
    <w:rsid w:val="49AB31D1"/>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57D8A"/>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D649F"/>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3D531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9E4D8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D0C3C"/>
    <w:rsid w:val="4D6E4167"/>
    <w:rsid w:val="4D7102C1"/>
    <w:rsid w:val="4D7300B7"/>
    <w:rsid w:val="4D784D14"/>
    <w:rsid w:val="4D793A6A"/>
    <w:rsid w:val="4D7A7B9A"/>
    <w:rsid w:val="4D7C7C5E"/>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CF7127"/>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29FA"/>
    <w:rsid w:val="4E665161"/>
    <w:rsid w:val="4E6A1812"/>
    <w:rsid w:val="4E7022FE"/>
    <w:rsid w:val="4E710D95"/>
    <w:rsid w:val="4E807A2E"/>
    <w:rsid w:val="4E825794"/>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758CF"/>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287705"/>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6F41A2"/>
    <w:rsid w:val="5176359C"/>
    <w:rsid w:val="5177567D"/>
    <w:rsid w:val="51794F27"/>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22940"/>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421FA"/>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20C0"/>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0C22D7"/>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D9073C"/>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502E"/>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57448"/>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A6F12"/>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9B7B3D"/>
    <w:rsid w:val="58AA5AB8"/>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478E5"/>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AFE749E"/>
    <w:rsid w:val="5B0200BA"/>
    <w:rsid w:val="5B025824"/>
    <w:rsid w:val="5B08472A"/>
    <w:rsid w:val="5B0937AB"/>
    <w:rsid w:val="5B0A1B2C"/>
    <w:rsid w:val="5B0A2C87"/>
    <w:rsid w:val="5B116848"/>
    <w:rsid w:val="5B127B67"/>
    <w:rsid w:val="5B153DAF"/>
    <w:rsid w:val="5B175107"/>
    <w:rsid w:val="5B183C22"/>
    <w:rsid w:val="5B1D3757"/>
    <w:rsid w:val="5B1F3958"/>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EF39DE"/>
    <w:rsid w:val="5BF31333"/>
    <w:rsid w:val="5BF96248"/>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A71"/>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2928"/>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95C29"/>
    <w:rsid w:val="5F5A6C52"/>
    <w:rsid w:val="5F5F628D"/>
    <w:rsid w:val="5F5F7F0F"/>
    <w:rsid w:val="5F615247"/>
    <w:rsid w:val="5F68788C"/>
    <w:rsid w:val="5F692966"/>
    <w:rsid w:val="5F6A5A0A"/>
    <w:rsid w:val="5F6F6F70"/>
    <w:rsid w:val="5F704B54"/>
    <w:rsid w:val="5F73758B"/>
    <w:rsid w:val="5F796C02"/>
    <w:rsid w:val="5F7A3813"/>
    <w:rsid w:val="5F7A43F9"/>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46AF0"/>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8E578A"/>
    <w:rsid w:val="61937195"/>
    <w:rsid w:val="61944E4E"/>
    <w:rsid w:val="61972B79"/>
    <w:rsid w:val="619872D1"/>
    <w:rsid w:val="619F7215"/>
    <w:rsid w:val="61A24E9C"/>
    <w:rsid w:val="61A31BDB"/>
    <w:rsid w:val="61A95324"/>
    <w:rsid w:val="61AA2B1C"/>
    <w:rsid w:val="61B02285"/>
    <w:rsid w:val="61B37031"/>
    <w:rsid w:val="61B71F4B"/>
    <w:rsid w:val="61BD0FD1"/>
    <w:rsid w:val="61C63667"/>
    <w:rsid w:val="61C87A05"/>
    <w:rsid w:val="61CA1D42"/>
    <w:rsid w:val="61CA5E86"/>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0F3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34A71"/>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97590"/>
    <w:rsid w:val="639B5A3B"/>
    <w:rsid w:val="63A6248F"/>
    <w:rsid w:val="63A90182"/>
    <w:rsid w:val="63AB1B48"/>
    <w:rsid w:val="63AE2E2C"/>
    <w:rsid w:val="63B06214"/>
    <w:rsid w:val="63B201BE"/>
    <w:rsid w:val="63B64055"/>
    <w:rsid w:val="63B85325"/>
    <w:rsid w:val="63BA23E8"/>
    <w:rsid w:val="63BB1F3E"/>
    <w:rsid w:val="63C45C8F"/>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9C682A"/>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0436C"/>
    <w:rsid w:val="66B4100E"/>
    <w:rsid w:val="66B54148"/>
    <w:rsid w:val="66B700A5"/>
    <w:rsid w:val="66B84F2A"/>
    <w:rsid w:val="66BC1F5B"/>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B6844"/>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215FE"/>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A2566"/>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74C49"/>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822F4"/>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551B2"/>
    <w:rsid w:val="6AA64B0B"/>
    <w:rsid w:val="6AA840CF"/>
    <w:rsid w:val="6AA957FF"/>
    <w:rsid w:val="6AAB0593"/>
    <w:rsid w:val="6AAF4F01"/>
    <w:rsid w:val="6AB936AC"/>
    <w:rsid w:val="6ABC0113"/>
    <w:rsid w:val="6ABC5C6B"/>
    <w:rsid w:val="6AC03859"/>
    <w:rsid w:val="6AC54DB6"/>
    <w:rsid w:val="6AC70E22"/>
    <w:rsid w:val="6ACD4739"/>
    <w:rsid w:val="6AD22381"/>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EC6872"/>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155B"/>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8C0B9D"/>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D025A"/>
    <w:rsid w:val="6ECE3DBA"/>
    <w:rsid w:val="6ED61AEF"/>
    <w:rsid w:val="6ED673DE"/>
    <w:rsid w:val="6ED77BF9"/>
    <w:rsid w:val="6ED96A02"/>
    <w:rsid w:val="6EDC7E1D"/>
    <w:rsid w:val="6EEA4297"/>
    <w:rsid w:val="6EF00518"/>
    <w:rsid w:val="6EF219BB"/>
    <w:rsid w:val="6EF72478"/>
    <w:rsid w:val="6F002B40"/>
    <w:rsid w:val="6F004303"/>
    <w:rsid w:val="6F027A9C"/>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779CF"/>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87CDA"/>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EB6FED"/>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747A8"/>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524C7"/>
    <w:rsid w:val="72FC45F3"/>
    <w:rsid w:val="72FE328E"/>
    <w:rsid w:val="72FE7704"/>
    <w:rsid w:val="73034911"/>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3D000C"/>
    <w:rsid w:val="74410C1E"/>
    <w:rsid w:val="744810E9"/>
    <w:rsid w:val="74525205"/>
    <w:rsid w:val="74534D75"/>
    <w:rsid w:val="745471DF"/>
    <w:rsid w:val="7459504E"/>
    <w:rsid w:val="745D77C8"/>
    <w:rsid w:val="745F3966"/>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1E68CD"/>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C2367"/>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17A87"/>
    <w:rsid w:val="776558E7"/>
    <w:rsid w:val="776A4453"/>
    <w:rsid w:val="77724A87"/>
    <w:rsid w:val="777344D6"/>
    <w:rsid w:val="777372B3"/>
    <w:rsid w:val="777462C6"/>
    <w:rsid w:val="777525EF"/>
    <w:rsid w:val="777E00BA"/>
    <w:rsid w:val="77846053"/>
    <w:rsid w:val="778A6405"/>
    <w:rsid w:val="778C3CA6"/>
    <w:rsid w:val="778F33CE"/>
    <w:rsid w:val="779179A9"/>
    <w:rsid w:val="779232E0"/>
    <w:rsid w:val="77931EFF"/>
    <w:rsid w:val="779F47B2"/>
    <w:rsid w:val="77A50807"/>
    <w:rsid w:val="77A82813"/>
    <w:rsid w:val="77AF421C"/>
    <w:rsid w:val="77AF4A25"/>
    <w:rsid w:val="77B16742"/>
    <w:rsid w:val="77B36B5D"/>
    <w:rsid w:val="77B61118"/>
    <w:rsid w:val="77B75A06"/>
    <w:rsid w:val="77BE7A3F"/>
    <w:rsid w:val="77C0217C"/>
    <w:rsid w:val="77C46E60"/>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4A65D6"/>
    <w:rsid w:val="784E164C"/>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37CD"/>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9F31A2"/>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361A3"/>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67AB3"/>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B53CE"/>
    <w:rsid w:val="7EBF7452"/>
    <w:rsid w:val="7EC54092"/>
    <w:rsid w:val="7ECA224D"/>
    <w:rsid w:val="7ED0094C"/>
    <w:rsid w:val="7ED534FD"/>
    <w:rsid w:val="7ED65889"/>
    <w:rsid w:val="7ED75B77"/>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86906"/>
    <w:rsid w:val="7F0B2F9D"/>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7F5A71"/>
    <w:rsid w:val="7F8322D3"/>
    <w:rsid w:val="7F84443F"/>
    <w:rsid w:val="7F882E57"/>
    <w:rsid w:val="7F8C458B"/>
    <w:rsid w:val="7F92041B"/>
    <w:rsid w:val="7F994C96"/>
    <w:rsid w:val="7F9D4537"/>
    <w:rsid w:val="7F9D657A"/>
    <w:rsid w:val="7FA0015B"/>
    <w:rsid w:val="7FA83506"/>
    <w:rsid w:val="7FAB029C"/>
    <w:rsid w:val="7FB0347F"/>
    <w:rsid w:val="7FB81DF3"/>
    <w:rsid w:val="7FBD4EB0"/>
    <w:rsid w:val="7FBF2D71"/>
    <w:rsid w:val="7FBF39EC"/>
    <w:rsid w:val="7FC0761A"/>
    <w:rsid w:val="7FC141BF"/>
    <w:rsid w:val="7FC21E1C"/>
    <w:rsid w:val="7FC80036"/>
    <w:rsid w:val="7FD051DA"/>
    <w:rsid w:val="7FD376CE"/>
    <w:rsid w:val="7FD4172C"/>
    <w:rsid w:val="7FD57FF0"/>
    <w:rsid w:val="7FD661D5"/>
    <w:rsid w:val="7FD75105"/>
    <w:rsid w:val="7FDB57CC"/>
    <w:rsid w:val="7FDD080F"/>
    <w:rsid w:val="7FDF0A3B"/>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character" w:customStyle="1" w:styleId="257">
    <w:name w:val="via2"/>
    <w:basedOn w:val="121"/>
    <w:qFormat/>
    <w:uiPriority w:val="0"/>
    <w:rPr>
      <w:color w:val="95959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4</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2021-10-22T08:08:13Z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